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Warmer spring temperatures in temperate deciduous forests cause earlier tree growth but have little effect on annual woody productivity</w:t>
      </w:r>
    </w:p>
    <w:p>
      <w:pPr>
        <w:pStyle w:val="BodyText"/>
      </w:pPr>
      <w:r>
        <w:rPr>
          <w:bCs/>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Cs/>
          <w:i/>
        </w:rPr>
        <w:t xml:space="preserve">Grant Harley</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Cs/>
          <w:i/>
        </w:rPr>
        <w:t xml:space="preserve">word limit 200. italic=tentative</w:t>
      </w:r>
      <w:r>
        <w:t xml:space="preserve">)</w:t>
      </w:r>
    </w:p>
    <w:p>
      <w:pPr>
        <w:pStyle w:val="BodyText"/>
      </w:pPr>
      <w:r>
        <w:t xml:space="preserve">As the climate changes, warmer spring temperatures are causing earlier leaf-out</w:t>
      </w:r>
      <w:r>
        <w:rPr>
          <w:vertAlign w:val="superscript"/>
        </w:rPr>
        <w:t xml:space="preserve">1</w:t>
      </w:r>
      <w:r>
        <w:t xml:space="preserve"> </w:t>
      </w:r>
      <w:r>
        <w:t xml:space="preserve">and commencement of net carbon dioxide (CO</w:t>
      </w:r>
      <w:r>
        <w:rPr>
          <w:vertAlign w:val="subscript"/>
        </w:rPr>
        <w:t xml:space="preserve">2</w:t>
      </w:r>
      <w:r>
        <w:t xml:space="preserve">) sequestration[REFS] in temperate deciduous forests, resulting in a tendency towards increased growing season length</w:t>
      </w:r>
      <w:r>
        <w:rPr>
          <w:vertAlign w:val="superscript"/>
        </w:rPr>
        <w:t xml:space="preserve">1–4</w:t>
      </w:r>
      <w:r>
        <w:t xml:space="preserve"> </w:t>
      </w:r>
      <w:r>
        <w:t xml:space="preserve">and annual CO</w:t>
      </w:r>
      <w:r>
        <w:rPr>
          <w:vertAlign w:val="subscript"/>
        </w:rPr>
        <w:t xml:space="preserve">2</w:t>
      </w:r>
      <w:r>
        <w:t xml:space="preserve"> </w:t>
      </w:r>
      <w:r>
        <w:t xml:space="preserve">sequestration</w:t>
      </w:r>
      <w:r>
        <w:rPr>
          <w:vertAlign w:val="superscript"/>
        </w:rPr>
        <w:t xml:space="preserve">5–7</w:t>
      </w:r>
      <w:r>
        <w:t xml:space="preserve">.</w:t>
      </w:r>
      <w:r>
        <w:t xml:space="preserve"> </w:t>
      </w:r>
      <w:r>
        <w:t xml:space="preserve">However, little is known about how spring temperatures affect tree stem growth, which consumes only a modest portion of the carbon fixed annually</w:t>
      </w:r>
      <w:r>
        <w:rPr>
          <w:vertAlign w:val="superscript"/>
        </w:rPr>
        <w:t xml:space="preserve">8</w:t>
      </w:r>
      <w:r>
        <w:t xml:space="preserve"> </w:t>
      </w:r>
      <w:r>
        <w:t xml:space="preserve">but sequesters that carbon in wood, which has a long residence time in the ecosystem</w:t>
      </w:r>
      <w:r>
        <w:rPr>
          <w:vertAlign w:val="superscript"/>
        </w:rPr>
        <w:t xml:space="preserve">9,10</w:t>
      </w:r>
      <w:r>
        <w:t xml:space="preserve"> </w:t>
      </w:r>
      <w:r>
        <w:t xml:space="preserve">or as wood products</w:t>
      </w:r>
      <w:r>
        <w:rPr>
          <w:vertAlign w:val="superscript"/>
        </w:rPr>
        <w:t xml:space="preserve">11</w:t>
      </w:r>
      <w:r>
        <w:t xml:space="preserve">.</w:t>
      </w:r>
      <w:r>
        <w:t xml:space="preserve"> </w:t>
      </w:r>
      <w:r>
        <w:t xml:space="preserve">Here, we show that in two temperate deciduous forests, warmer maximum spring temperatures consistently shifted woody growth milestones earlier but had mixed, weak effects on peak growing season length, maximum daily growth rates, and annual growth.</w:t>
      </w:r>
      <w:r>
        <w:t xml:space="preserve"> </w:t>
      </w:r>
      <w:r>
        <w:t xml:space="preserve">The latter finding is confirmed on the centennial scale by 207 tree-ring chronologies from NA forests across eastern North America, which show that annual growth is by far more sensitive to temperatures during the peak growing season than in the spring.</w:t>
      </w:r>
      <w:r>
        <w:t xml:space="preserve"> </w:t>
      </w:r>
      <w:r>
        <w:t xml:space="preserve">These findings align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12</w:t>
      </w:r>
      <w:r>
        <w:t xml:space="preserve">, with</w:t>
      </w:r>
      <w:r>
        <w:t xml:space="preserve"> </w:t>
      </w:r>
      <w:r>
        <w:rPr>
          <w:iCs/>
          <w:i/>
        </w:rPr>
        <w:t xml:space="preserve">previous</w:t>
      </w:r>
      <w:r>
        <w:t xml:space="preserve"> </w:t>
      </w:r>
      <w:r>
        <w:t xml:space="preserve">observations that warm springs result in earlier leaf senescence</w:t>
      </w:r>
      <w:r>
        <w:rPr>
          <w:vertAlign w:val="superscript"/>
        </w:rPr>
        <w:t xml:space="preserve">13,14</w:t>
      </w:r>
      <w:r>
        <w:t xml:space="preserve">, and with evidence that forest CO</w:t>
      </w:r>
      <w:r>
        <w:rPr>
          <w:vertAlign w:val="subscript"/>
        </w:rPr>
        <w:t xml:space="preserve">2</w:t>
      </w:r>
      <w:r>
        <w:t xml:space="preserve"> </w:t>
      </w:r>
      <w:r>
        <w:t xml:space="preserve">sequestration is sink-limited</w:t>
      </w:r>
      <w:r>
        <w:rPr>
          <w:vertAlign w:val="superscript"/>
        </w:rPr>
        <w:t xml:space="preserve">14</w:t>
      </w:r>
      <w:r>
        <w:t xml:space="preserve">.</w:t>
      </w:r>
      <w:r>
        <w:t xml:space="preserve"> </w:t>
      </w:r>
      <w:r>
        <w:t xml:space="preserve">They contrast, however, with the expectation</w:t>
      </w:r>
      <w:r>
        <w:t xml:space="preserve"> </w:t>
      </w:r>
      <w:r>
        <w:rPr>
          <w:iCs/>
          <w:i/>
        </w:rPr>
        <w:t xml:space="preserve">in most models</w:t>
      </w:r>
      <w:r>
        <w:rPr>
          <w:vertAlign w:val="superscript"/>
          <w:iCs/>
          <w:i/>
        </w:rPr>
        <w:t xml:space="preserve">14</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Rather, our findings imply that</w:t>
      </w:r>
      <w:r>
        <w:t xml:space="preserve"> </w:t>
      </w:r>
      <w:r>
        <w:rPr>
          <w:iCs/>
          <w:i/>
        </w:rPr>
        <w:t xml:space="preserve">the extra CO</w:t>
      </w:r>
      <w:r>
        <w:rPr>
          <w:vertAlign w:val="subscript"/>
          <w:iCs/>
          <w:i/>
        </w:rPr>
        <w:t xml:space="preserve">2</w:t>
      </w:r>
      <w:r>
        <w:rPr>
          <w:iCs/>
          <w:i/>
        </w:rPr>
        <w:t xml:space="preserve"> </w:t>
      </w:r>
      <w:r>
        <w:rPr>
          <w:iCs/>
          <w:i/>
        </w:rPr>
        <w:t xml:space="preserve">sequestered in years with warmer springs</w:t>
      </w:r>
      <w:r>
        <w:rPr>
          <w:vertAlign w:val="superscript"/>
          <w:iCs/>
          <w:i/>
        </w:rPr>
        <w:t xml:space="preserve">5–7</w:t>
      </w:r>
      <w:r>
        <w:rPr>
          <w:iCs/>
          <w:i/>
        </w:rPr>
        <w:t xml:space="preserve"> </w:t>
      </w:r>
      <w:r>
        <w:rPr>
          <w:iCs/>
          <w:i/>
        </w:rPr>
        <w:t xml:space="preserve">must be allocated primarily to relatively short-lived C pools and therefore unlikely to have a lasting impact on the forest C balance.</w:t>
      </w:r>
      <w:r>
        <w:t xml:space="preserve"> </w:t>
      </w:r>
      <w:r>
        <w:t xml:space="preserve">Thus, warming spring temperatures are unlikely to increase the woody productivity or strengthen the carbon sink of temperate deciduous forests.</w:t>
      </w:r>
    </w:p>
    <w:p>
      <w:r>
        <w:br w:type="page"/>
      </w:r>
    </w:p>
    <w:bookmarkEnd w:id="21"/>
    <w:bookmarkStart w:id="23" w:name="introduction"/>
    <w:p>
      <w:pPr>
        <w:pStyle w:val="Heading1"/>
      </w:pPr>
      <w:r>
        <w:t xml:space="preserve">(Introduction)</w:t>
      </w:r>
    </w:p>
    <w:p>
      <w:pPr>
        <w:pStyle w:val="FirstParagraph"/>
      </w:pPr>
      <w:r>
        <w:t xml:space="preserve">(</w:t>
      </w:r>
      <w:r>
        <w:rPr>
          <w:iCs/>
          <w:i/>
        </w:rPr>
        <w:t xml:space="preserve">this first paragraph needs to be re-written (very concisely, and focused on the temperate forest C sink and its uncertainty</w:t>
      </w:r>
      <w:r>
        <w:t xml:space="preserve">)</w:t>
      </w:r>
    </w:p>
    <w:p>
      <w:pPr>
        <w:pStyle w:val="BodyText"/>
      </w:pPr>
      <w:r>
        <w:t xml:space="preserve">As Earth’s atmospheric CO</w:t>
      </w:r>
      <w:r>
        <w:rPr>
          <w:vertAlign w:val="subscript"/>
        </w:rPr>
        <w:t xml:space="preserve">2</w:t>
      </w:r>
      <w:r>
        <w:t xml:space="preserve"> </w:t>
      </w:r>
      <w:r>
        <w:t xml:space="preserve">concentrations and temperatures increase, the responses and feedbacks of forests will play an important yet uncertain role in influencing atmospheric CO</w:t>
      </w:r>
      <w:r>
        <w:rPr>
          <w:vertAlign w:val="subscript"/>
        </w:rPr>
        <w:t xml:space="preserve">2</w:t>
      </w:r>
      <w:r>
        <w:t xml:space="preserve"> </w:t>
      </w:r>
      <w:r>
        <w:t xml:space="preserve">and climate change</w:t>
      </w:r>
      <w:r>
        <w:rPr>
          <w:vertAlign w:val="superscript"/>
        </w:rPr>
        <w:t xml:space="preserve">15,16</w:t>
      </w:r>
      <w:r>
        <w:t xml:space="preserve">.</w:t>
      </w:r>
      <w:r>
        <w:t xml:space="preserve"> </w:t>
      </w:r>
      <w:r>
        <w:t xml:space="preserve">Temperate deciduous forests, including those in eastern North America,</w:t>
      </w:r>
      <w:r>
        <w:t xml:space="preserve"> </w:t>
      </w:r>
      <w:r>
        <w:rPr>
          <w:iCs/>
          <w:i/>
        </w:rPr>
        <w:t xml:space="preserve">(have been net carbon sinks over the past several decades)</w:t>
      </w:r>
      <w:r>
        <w:t xml:space="preserve">…</w:t>
      </w:r>
      <w:r>
        <w:t xml:space="preserve"> </w:t>
      </w:r>
      <w:r>
        <w:rPr>
          <w:iCs/>
          <w:i/>
        </w:rPr>
        <w:t xml:space="preserve">[Discuss this sink, mechanisms, uncertainties, ending with the point that one meaningful uncertainty is how the C sink will respond to warming springs]</w:t>
      </w:r>
    </w:p>
    <w:p>
      <w:pPr>
        <w:pStyle w:val="BodyText"/>
      </w:pPr>
      <w:r>
        <w:rPr>
          <w:bCs/>
          <w:b/>
        </w:rPr>
        <w:t xml:space="preserve">In recent decades, warming temperatures have resulted in widespread phenological changes indicative of earlier arrival of spring</w:t>
      </w:r>
      <w:r>
        <w:rPr>
          <w:vertAlign w:val="superscript"/>
          <w:bCs/>
          <w:b/>
        </w:rPr>
        <w:t xml:space="preserve">18</w:t>
      </w:r>
      <w:r>
        <w:rPr>
          <w:bCs/>
          <w:b/>
        </w:rPr>
        <w:t xml:space="preserve"> </w:t>
      </w:r>
      <w:r>
        <w:rPr>
          <w:bCs/>
          <w:b/>
        </w:rPr>
        <w:t xml:space="preserve">and</w:t>
      </w:r>
      <w:r>
        <w:rPr>
          <w:bCs/>
          <w:b/>
        </w:rPr>
        <w:t xml:space="preserve"> </w:t>
      </w:r>
      <w:r>
        <w:rPr>
          <w:iCs/>
          <w:i/>
          <w:bCs/>
          <w:b/>
        </w:rPr>
        <w:t xml:space="preserve">often later autumn</w:t>
      </w:r>
      <w:r>
        <w:rPr>
          <w:vertAlign w:val="superscript"/>
          <w:bCs/>
          <w:b/>
        </w:rPr>
        <w:t xml:space="preserve">1</w:t>
      </w:r>
      <w:r>
        <w:rPr>
          <w:bCs/>
          <w:b/>
        </w:rPr>
        <w:t xml:space="preserve">.</w:t>
      </w:r>
      <w:r>
        <w:t xml:space="preserve"> </w:t>
      </w:r>
      <w:r>
        <w:t xml:space="preserve">In temperate deciduous forests, spring leaf-out has been occurring earlier</w:t>
      </w:r>
      <w:r>
        <w:rPr>
          <w:vertAlign w:val="superscript"/>
        </w:rPr>
        <w:t xml:space="preserve">1</w:t>
      </w:r>
      <w:r>
        <w:t xml:space="preserve">,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Cs/>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vertAlign w:val="superscript"/>
        </w:rPr>
        <w:t xml:space="preserve">13,</w:t>
      </w:r>
      <w:r>
        <w:rPr>
          <w:bCs/>
          <w:b/>
          <w:vertAlign w:val="superscript"/>
        </w:rPr>
        <w:t xml:space="preserve">keenan_timing_2015?</w:t>
      </w:r>
      <w:r>
        <w:t xml:space="preserve">, apparently because of sink-limitation to CO</w:t>
      </w:r>
      <w:r>
        <w:rPr>
          <w:vertAlign w:val="subscript"/>
        </w:rPr>
        <w:t xml:space="preserve">2</w:t>
      </w:r>
      <w:r>
        <w:t xml:space="preserve"> </w:t>
      </w:r>
      <w:r>
        <w:t xml:space="preserve">sequestration</w:t>
      </w:r>
      <w:r>
        <w:rPr>
          <w:vertAlign w:val="superscript"/>
        </w:rPr>
        <w:t xml:space="preserve">14</w:t>
      </w:r>
      <w:r>
        <w:t xml:space="preserve">, whereas warmer summer and autumn temperatures delay leaf senescence</w:t>
      </w:r>
      <w:r>
        <w:rPr>
          <w:vertAlign w:val="superscript"/>
        </w:rPr>
        <w:t xml:space="preserve">1,4,6,7,13,</w:t>
      </w:r>
      <w:r>
        <w:rPr>
          <w:bCs/>
          <w:b/>
          <w:vertAlign w:val="superscript"/>
        </w:rPr>
        <w:t xml:space="preserve">vitasse_responses_2009?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w:t>
      </w:r>
      <w:r>
        <w:rPr>
          <w:vertAlign w:val="superscript"/>
        </w:rPr>
        <w:t xml:space="preserve">1</w:t>
      </w:r>
      <w:r>
        <w:t xml:space="preserve"> </w:t>
      </w:r>
      <w:r>
        <w:t xml:space="preserve">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Cs/>
          <w:b/>
        </w:rPr>
        <w:t xml:space="preserve">The expectation is that as growing season length increases, net annual carbon sequestered will increase as well (</w:t>
      </w:r>
      <w:r>
        <w:rPr>
          <w:iCs/>
          <w:i/>
          <w:bCs/>
          <w:b/>
        </w:rPr>
        <w:t xml:space="preserve">i,e</w:t>
      </w:r>
      <w:r>
        <w:rPr>
          <w:bCs/>
          <w:b/>
        </w:rPr>
        <w:t xml:space="preserve">, net ecosystem exchange,</w:t>
      </w:r>
      <w:r>
        <w:rPr>
          <w:bCs/>
          <w:b/>
        </w:rPr>
        <w:t xml:space="preserve"> </w:t>
      </w:r>
      <m:oMath>
        <m:r>
          <m:t>N</m:t>
        </m:r>
        <m:r>
          <m:t>E</m:t>
        </m:r>
        <m:r>
          <m:t>E</m:t>
        </m:r>
      </m:oMath>
      <w:r>
        <w:rPr>
          <w:bCs/>
          <w:b/>
        </w:rPr>
        <w:t xml:space="preserve">)</w:t>
      </w:r>
      <w:r>
        <w:rPr>
          <w:vertAlign w:val="superscript"/>
          <w:bCs/>
          <w:b/>
        </w:rPr>
        <w:t xml:space="preserve">19–21</w:t>
      </w:r>
      <w:r>
        <w:rPr>
          <w:bCs/>
          <w:b/>
        </w:rPr>
        <w:t xml:space="preserve">.</w:t>
      </w:r>
      <w:r>
        <w:t xml:space="preserve"> </w:t>
      </w:r>
      <w:r>
        <w:rPr>
          <w:iCs/>
          <w:i/>
        </w:rPr>
        <w:t xml:space="preserve">This expectation is represented in models.</w:t>
      </w:r>
      <w:r>
        <w:rPr>
          <w:vertAlign w:val="superscript"/>
          <w:iCs/>
          <w:i/>
        </w:rPr>
        <w:t xml:space="preserve">14</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Cs/>
          <w:i/>
        </w:rPr>
        <w:t xml:space="preserve">will not necessarily lead to drastically increased C sequestration</w:t>
      </w:r>
      <w:r>
        <w:rPr>
          <w:vertAlign w:val="superscript"/>
        </w:rPr>
        <w:t xml:space="preserve">14</w:t>
      </w:r>
      <w:r>
        <w:t xml:space="preserve">.</w:t>
      </w:r>
    </w:p>
    <w:p>
      <w:pPr>
        <w:pStyle w:val="BodyText"/>
      </w:pPr>
      <w:r>
        <w:rPr>
          <w:bCs/>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with multi-year records of growth phenology having been published for only one site [D’Orangeville].</w:t>
      </w:r>
      <w:r>
        <w:t xml:space="preserve"> </w:t>
      </w:r>
      <w:r>
        <w:rPr>
          <w:iCs/>
          <w:i/>
        </w:rPr>
        <w:t xml:space="preserve">(We need to make sure we’re not missing anything.)</w:t>
      </w:r>
      <w:r>
        <w:t xml:space="preserve"> </w:t>
      </w:r>
      <w:r>
        <w:t xml:space="preserve">Tree-ring records, which can be used to examine correlations of annual growth to monthly temperatures but not to understand growth phenology, reveal that growth of temperate deciduous trees tends to be most sensitive to summer temperatures (REFS), with some hints that warmer springs may have a modest positive effect on growth (e.g., Refs.</w:t>
      </w:r>
      <w:r>
        <w:rPr>
          <w:vertAlign w:val="superscript"/>
        </w:rPr>
        <w:t xml:space="preserve">22</w:t>
      </w:r>
      <w:r>
        <w:t xml:space="preserve"> </w:t>
      </w:r>
      <w:r>
        <w:t xml:space="preserve">[MORE]).</w:t>
      </w:r>
      <w:r>
        <w:t xml:space="preserve"> </w:t>
      </w:r>
      <w:r>
        <w:t xml:space="preserve">Thus, tree-ring records do not necessarily corroborate findings that warming spring temperatures lengthen the growing season and increase annual CO</w:t>
      </w:r>
      <w:r>
        <w:rPr>
          <w:vertAlign w:val="subscript"/>
        </w:rPr>
        <w:t xml:space="preserve">2</w:t>
      </w:r>
      <w:r>
        <w:t xml:space="preserve"> </w:t>
      </w:r>
      <w:r>
        <w:t xml:space="preserve">sequestration.</w:t>
      </w:r>
      <w:r>
        <w:t xml:space="preserve"> </w:t>
      </w:r>
      <w:r>
        <w:t xml:space="preserve">Characterizing phenological responses of stem growth to warming spring temperatures is critical to bridging this conceptual disconnect and understanding how forest biomass growth is likely to change as the climate warms.</w:t>
      </w:r>
    </w:p>
    <w:p>
      <w:pPr>
        <w:pStyle w:val="BodyText"/>
      </w:pPr>
      <w:r>
        <w:rPr>
          <w:bCs/>
          <w:b/>
        </w:rPr>
        <w:t xml:space="preserve">Here, we characterize how early spring temperatures affect stem growth phenology, growth rates, and annual growth of temperate deciduous trees in two forests (Fig. 1) and annual growth across these and an additional NA forests spanning eastern North America.</w:t>
      </w:r>
      <w:r>
        <w:t xml:space="preserve"> </w:t>
      </w:r>
      <w:r>
        <w:t xml:space="preserve">First, using dendrometer band measurements taken throughout the growing season at the Smithsonian Conservation Biology Institute (SCBI; Virginia; n =</w:t>
      </w:r>
      <w:r>
        <w:t xml:space="preserve"> </w:t>
      </w:r>
      <w:r>
        <w:rPr>
          <w:bCs/>
          <w:b/>
        </w:rPr>
        <w:t xml:space="preserve">146</w:t>
      </w:r>
      <w:r>
        <w:t xml:space="preserve"> </w:t>
      </w:r>
      <w:r>
        <w:t xml:space="preserve">trees over 10 years) and Harvard Forest (Massachusetts; n =</w:t>
      </w:r>
      <w:r>
        <w:t xml:space="preserve"> </w:t>
      </w:r>
      <w:r>
        <w:rPr>
          <w:bCs/>
          <w:b/>
        </w:rPr>
        <w:t xml:space="preserve">755</w:t>
      </w:r>
      <w:r>
        <w:t xml:space="preserve"> </w:t>
      </w:r>
      <w:r>
        <w:t xml:space="preserve">trees over six years), we fit a growth model</w:t>
      </w:r>
      <w:r>
        <w:rPr>
          <w:vertAlign w:val="superscript"/>
        </w:rPr>
        <w:t xml:space="preserve">23</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rPr>
            <m:sty m:val="p"/>
          </m:rP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t xml:space="preserve">This analysis was performed separately for ring- and diffuse-porous species, which differ in growth phenology[</w:t>
      </w:r>
      <w:r>
        <w:rPr>
          <w:iCs/>
          <w:i/>
        </w:rPr>
        <w:t xml:space="preserve">D’Orangeville</w:t>
      </w:r>
      <w:r>
        <w:t xml:space="preserve">], and set in the context of leaf phenology at these sites.</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4"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Cs/>
          <w:i/>
        </w:rPr>
        <w:t xml:space="preserve">(we will need to add leaf phenology to this paragraph)</w:t>
      </w:r>
    </w:p>
    <w:p>
      <w:pPr>
        <w:pStyle w:val="BodyText"/>
      </w:pPr>
      <w:r>
        <w:rPr>
          <w:bCs/>
          <w:b/>
        </w:rPr>
        <w:t xml:space="preserve">Growth milestones were achieved earlier at SCBI than at Harvard Forest (average difference: 6-10 days) and differed between ring- and diffuse-porous species (Fig. S1, Table S3).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 S2).</w:t>
      </w:r>
      <w:r>
        <w:t xml:space="preserve"> </w:t>
      </w:r>
      <w:r>
        <w:t xml:space="preserve">This held true for both ring- and diffuse-porous trees at both sites,</w:t>
      </w:r>
      <w:r>
        <w:t xml:space="preserve"> </w:t>
      </w:r>
      <w:r>
        <w:rPr>
          <w:iCs/>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rPr>
            <m:sty m:val="p"/>
          </m:rP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w:t>
      </w:r>
      <w:r>
        <w:rPr>
          <w:bCs/>
          <w:b/>
        </w:rPr>
        <w:t xml:space="preserve">NEEDS SUPPORTING FIG</w:t>
      </w:r>
      <w:r>
        <w:t xml:space="preserve">).</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w:t>
      </w:r>
      <w:r>
        <w:rPr>
          <w:bCs/>
          <w:b/>
        </w:rPr>
        <w:t xml:space="preserve">NEEDS SUPPORTING FIG</w:t>
      </w:r>
      <w:r>
        <w:t xml:space="preserve">).</w:t>
      </w:r>
      <w:r>
        <w:t xml:space="preserve"> </w:t>
      </w:r>
      <w:r>
        <w:t xml:space="preserve">In contrast, at Harvard Forest, where we had only six years of data,</w:t>
      </w:r>
      <w:r>
        <w:t xml:space="preserve"> </w:t>
      </w:r>
      <w:r>
        <w:rPr>
          <w:iCs/>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Cs/>
          <w:i/>
        </w:rPr>
        <w:t xml:space="preserve">climwin</w:t>
      </w:r>
      <w:r>
        <w:t xml:space="preserve">-selected critical temperature windows,</w:t>
      </w:r>
      <w:r>
        <w:t xml:space="preserve"> </w:t>
      </w:r>
      <w:r>
        <w:rPr>
          <w:iCs/>
          <w:i/>
        </w:rPr>
        <w:t xml:space="preserve">noting that similar results are obtained using alternate temperature window (</w:t>
      </w:r>
      <w:hyperlink r:id="rId25">
        <w:r>
          <w:rPr>
            <w:rStyle w:val="Hyperlink"/>
            <w:iCs/>
            <w:i/>
          </w:rPr>
          <w:t xml:space="preserve">GitHub issue #42</w:t>
        </w:r>
      </w:hyperlink>
      <w:r>
        <w:rPr>
          <w:iCs/>
          <w:i/>
        </w:rPr>
        <w:t xml:space="preserve">).</w:t>
      </w:r>
    </w:p>
    <w:bookmarkEnd w:id="26"/>
    <w:bookmarkStart w:id="30"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rPr>
                <m:sty m:val="p"/>
              </m:rP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SHOULD WE SHOW ONLY THE DOY TRENDS and Lpgs (top 2 rows), GIVEN LACK OF SIGNIFICANT TRENDS IN THE OTHERS AND BECAUSE WE NEED TO KEEP FIGURES COMPACT?)"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 (</w:t>
      </w:r>
      <w:r>
        <w:rPr>
          <w:bCs/>
          <w:b/>
        </w:rPr>
        <w:t xml:space="preserve">SHOULD WE SHOW ONLY THE DOY TRENDS and Lpgs (top 2 rows), GIVEN LACK OF SIGNIFICANT TRENDS IN THE OTHERS AND BECAUSE WE NEED TO KEEP FIGURES COMPACT?</w:t>
      </w:r>
      <w:r>
        <w:t xml:space="preserve">)</w:t>
      </w:r>
    </w:p>
    <w:p>
      <w:pPr>
        <w:pStyle w:val="CaptionedFigure"/>
      </w:pPr>
      <w:r>
        <w:drawing>
          <wp:inline>
            <wp:extent cx="5334000" cy="4445000"/>
            <wp:effectExtent b="0" l="0" r="0" t="0"/>
            <wp:docPr descr="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 T_{max} window, then turned into a ratio and assigned a color on a gradient where the coldest year in the sample is blue and the warmest is red. (SHOULD WE COMBINE LEAF AND STEM PHENOLOGY ON A SINGLE PLOT WITH SEPARATE Y-AXES? See GitHub Issue #50. )"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2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t>
      </w:r>
      <w:r>
        <w:rPr>
          <w:bCs/>
          <w:b/>
        </w:rPr>
        <w:t xml:space="preserve">SHOULD WE COMBINE LEAF AND STEM PHENOLOGY ON A SINGLE PLOT WITH SEPARATE Y-AXES?</w:t>
      </w:r>
      <w:r>
        <w:t xml:space="preserve"> </w:t>
      </w:r>
      <w:r>
        <w:t xml:space="preserve">See</w:t>
      </w:r>
      <w:r>
        <w:t xml:space="preserve"> </w:t>
      </w:r>
      <w:hyperlink r:id="rId29">
        <w:r>
          <w:rPr>
            <w:rStyle w:val="Hyperlink"/>
          </w:rPr>
          <w:t xml:space="preserve">GitHub Issue #50</w:t>
        </w:r>
      </w:hyperlink>
      <w:r>
        <w:t xml:space="preserve">. )</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Cs/>
          <w:i/>
        </w:rPr>
        <w:t xml:space="preserve">At SCBI, ring-porous</w:t>
      </w:r>
      <w:r>
        <w:rPr>
          <w:iCs/>
          <w:i/>
        </w:rPr>
        <w:t xml:space="preserve"> </w:t>
      </w:r>
      <m:oMath>
        <m:r>
          <m:t>D</m:t>
        </m:r>
        <m:r>
          <m:t>O</m:t>
        </m:r>
        <m:sSub>
          <m:e>
            <m:r>
              <m:t>Y</m:t>
            </m:r>
          </m:e>
          <m:sub>
            <m:r>
              <m:t>25</m:t>
            </m:r>
          </m:sub>
        </m:sSub>
      </m:oMath>
      <w:r>
        <w:rPr>
          <w:iCs/>
          <w:i/>
        </w:rPr>
        <w:t xml:space="preserve"> </w:t>
      </w:r>
      <w:r>
        <w:rPr>
          <w:iCs/>
          <w:i/>
        </w:rPr>
        <w:t xml:space="preserve">and</w:t>
      </w:r>
      <w:r>
        <w:rPr>
          <w:iCs/>
          <w:i/>
        </w:rPr>
        <w:t xml:space="preserve"> </w:t>
      </w:r>
      <m:oMath>
        <m:r>
          <m:t>D</m:t>
        </m:r>
        <m:r>
          <m:t>O</m:t>
        </m:r>
        <m:sSub>
          <m:e>
            <m:r>
              <m:t>Y</m:t>
            </m:r>
          </m:e>
          <m:sub>
            <m:r>
              <m:t>50</m:t>
            </m:r>
          </m:sub>
        </m:sSub>
      </m:oMath>
      <w:r>
        <w:rPr>
          <w:iCs/>
          <w:i/>
        </w:rPr>
        <w:t xml:space="preserve"> </w:t>
      </w:r>
      <w:r>
        <w:rPr>
          <w:iCs/>
          <w:i/>
        </w:rPr>
        <w:t xml:space="preserve">shifted earlier as a result of warmer springs whereas</w:t>
      </w:r>
      <w:r>
        <w:rPr>
          <w:iCs/>
          <w:i/>
        </w:rPr>
        <w:t xml:space="preserve"> </w:t>
      </w:r>
      <m:oMath>
        <m:r>
          <m:t>D</m:t>
        </m:r>
        <m:r>
          <m:t>O</m:t>
        </m:r>
        <m:sSub>
          <m:e>
            <m:r>
              <m:t>Y</m:t>
            </m:r>
          </m:e>
          <m:sub>
            <m:r>
              <m:t>75</m:t>
            </m:r>
          </m:sub>
        </m:sSub>
      </m:oMath>
      <w:r>
        <w:rPr>
          <w:iCs/>
          <w:i/>
        </w:rPr>
        <w:t xml:space="preserve"> </w:t>
      </w:r>
      <w:r>
        <w:rPr>
          <w:iCs/>
          <w:i/>
        </w:rPr>
        <w:t xml:space="preserve">did not shift significantly, resulting in a positive correlation between</w:t>
      </w:r>
      <w:r>
        <w:rPr>
          <w:iCs/>
          <w:i/>
        </w:rPr>
        <w:t xml:space="preserve"> </w:t>
      </w:r>
      <m:oMath>
        <m:sSub>
          <m:e>
            <m:r>
              <m:t>L</m:t>
            </m:r>
          </m:e>
          <m:sub>
            <m:r>
              <m:t>P</m:t>
            </m:r>
            <m:r>
              <m:t>G</m:t>
            </m:r>
            <m:r>
              <m:t>S</m:t>
            </m:r>
          </m:sub>
        </m:sSub>
      </m:oMath>
      <w:r>
        <w:rPr>
          <w:iCs/>
          <w:i/>
        </w:rPr>
        <w:t xml:space="preserve"> </w:t>
      </w:r>
      <w:r>
        <w:rPr>
          <w:iCs/>
          <w:i/>
        </w:rPr>
        <w:t xml:space="preserve">and</w:t>
      </w:r>
      <w:r>
        <w:rPr>
          <w:iCs/>
          <w:i/>
        </w:rPr>
        <w:t xml:space="preserve"> </w:t>
      </w:r>
      <m:oMath>
        <m:sSub>
          <m:e>
            <m:r>
              <m:t>T</m:t>
            </m:r>
          </m:e>
          <m:sub>
            <m:r>
              <m:t>m</m:t>
            </m:r>
            <m:r>
              <m:t>a</m:t>
            </m:r>
            <m:r>
              <m:t>x</m:t>
            </m:r>
          </m:sub>
        </m:sSub>
      </m:oMath>
      <w:r>
        <w:rPr>
          <w:iCs/>
          <w:i/>
        </w:rPr>
        <w:t xml:space="preserve"> </w:t>
      </w:r>
      <w:r>
        <w:rPr>
          <w:iCs/>
          <w:i/>
        </w:rPr>
        <w:t xml:space="preserve">during the critical temperature.</w:t>
      </w:r>
      <w:r>
        <w:t xml:space="preserve"> </w:t>
      </w:r>
      <w:r>
        <w:rPr>
          <w:iCs/>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bookmarkEnd w:id="30"/>
    <w:bookmarkStart w:id="33"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rPr>
          <w:bCs/>
          <w:b/>
        </w:rPr>
        <w:t xml:space="preserve">To understand how annual growth, as registered in ring width indices (</w:t>
      </w:r>
      <m:oMath>
        <m:r>
          <m:t>R</m:t>
        </m:r>
        <m:r>
          <m:t>W</m:t>
        </m:r>
        <m:r>
          <m:t>I</m:t>
        </m:r>
      </m:oMath>
      <w:r>
        <w:rPr>
          <w:bCs/>
          <w:b/>
        </w:rPr>
        <w:t xml:space="preserve">), have responded to spring temperatures at the centennial scale, we analyzed tree-ring chronologies for NA species at SCBI, NA species at Harvard Forest.</w:t>
      </w:r>
      <w:r>
        <w:t xml:space="preserve"> </w:t>
      </w:r>
      <w:r>
        <w:rPr>
          <w:iCs/>
          <w:i/>
        </w:rPr>
        <w:t xml:space="preserve">(The following should be condensed:)</w:t>
      </w:r>
      <w:r>
        <w:t xml:space="preserve"> </w:t>
      </w:r>
      <w:r>
        <w:t xml:space="preserve">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S3).</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Cs/>
          <w:i/>
        </w:rPr>
        <w:t xml:space="preserve">Carya tomentosa</w:t>
      </w:r>
      <w:r>
        <w:t xml:space="preserve"> </w:t>
      </w:r>
      <w:r>
        <w:t xml:space="preserve">in March at SCBI; diffuse-porous</w:t>
      </w:r>
      <w:r>
        <w:t xml:space="preserve"> </w:t>
      </w:r>
      <w:r>
        <w:rPr>
          <w:iCs/>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Cs/>
          <w:i/>
        </w:rPr>
        <w:t xml:space="preserve">Quercus rubra</w:t>
      </w:r>
      <w:r>
        <w:t xml:space="preserve"> </w:t>
      </w:r>
      <w:r>
        <w:t xml:space="preserve">in June).</w:t>
      </w:r>
    </w:p>
    <w:p>
      <w:pPr>
        <w:pStyle w:val="CaptionedFigure"/>
      </w:pPr>
      <w:r>
        <w:drawing>
          <wp:inline>
            <wp:extent cx="5334000" cy="4970648"/>
            <wp:effectExtent b="0" l="0" r="0" t="0"/>
            <wp:docPr descr="Figure 4 | Sensitivity of annual growth, as derived from tree-rings, to monthly maximum temperatures, for ## chronologies from ## sites across eastern North America. Chronologies are grouped by xylem porosity and ordered by mean April T_max. Chronology details are given in Table S4. (NOTE: Figure still needs some work. COLOR SCALE IS A BIT OFF. See GitHub Issue #49.)" title="" id="1" name="Picture"/>
            <a:graphic>
              <a:graphicData uri="http://schemas.openxmlformats.org/drawingml/2006/picture">
                <pic:pic>
                  <pic:nvPicPr>
                    <pic:cNvPr descr="tables_figures/tree_rings_tmax.png" id="0" name="Picture"/>
                    <pic:cNvPicPr>
                      <a:picLocks noChangeArrowheads="1" noChangeAspect="1"/>
                    </pic:cNvPicPr>
                  </pic:nvPicPr>
                  <pic:blipFill>
                    <a:blip r:embed="rId31"/>
                    <a:stretch>
                      <a:fillRect/>
                    </a:stretch>
                  </pic:blipFill>
                  <pic:spPr bwMode="auto">
                    <a:xfrm>
                      <a:off x="0" y="0"/>
                      <a:ext cx="5334000" cy="4970648"/>
                    </a:xfrm>
                    <a:prstGeom prst="rect">
                      <a:avLst/>
                    </a:prstGeom>
                    <a:noFill/>
                    <a:ln w="9525">
                      <a:noFill/>
                      <a:headEnd/>
                      <a:tailEnd/>
                    </a:ln>
                  </pic:spPr>
                </pic:pic>
              </a:graphicData>
            </a:graphic>
          </wp:inline>
        </w:drawing>
      </w:r>
    </w:p>
    <w:p>
      <w:pPr>
        <w:pStyle w:val="ImageCaption"/>
      </w:pPr>
      <w:r>
        <w:t xml:space="preserve">Figure 4 | Sensitivity of annual growth, as derived from tree-rings, to monthly maximum temperatures, for ## chronologies from ## sites across eastern North America. Chronologies are grouped by xylem porosity and ordered by mean April T_max. Chronology details are given in Table S4. (NOTE: Figure still needs some work.</w:t>
      </w:r>
      <w:r>
        <w:t xml:space="preserve"> </w:t>
      </w:r>
      <w:r>
        <w:rPr>
          <w:bCs/>
          <w:b/>
        </w:rPr>
        <w:t xml:space="preserve">COLOR SCALE IS A BIT OFF.</w:t>
      </w:r>
      <w:r>
        <w:t xml:space="preserve"> </w:t>
      </w:r>
      <w:r>
        <w:t xml:space="preserve">See</w:t>
      </w:r>
      <w:r>
        <w:t xml:space="preserve"> </w:t>
      </w:r>
      <w:hyperlink r:id="rId32">
        <w:r>
          <w:rPr>
            <w:rStyle w:val="Hyperlink"/>
          </w:rPr>
          <w:t xml:space="preserve">GitHub Issue #49</w:t>
        </w:r>
      </w:hyperlink>
      <w:r>
        <w:t xml:space="preserve">.)</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S3).</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p>
      <w:pPr>
        <w:pStyle w:val="BodyText"/>
      </w:pPr>
      <w:r>
        <w:rPr>
          <w:bCs/>
          <w:b/>
        </w:rPr>
        <w:t xml:space="preserve">To set these findings in a broader scale context, we analyzed an additional NA chronologies from NA.</w:t>
      </w:r>
      <w:r>
        <w:t xml:space="preserve"> </w:t>
      </w:r>
      <w:r>
        <w:t xml:space="preserve">In total, our analysis included # species at sites distributed from XXX to XXX and spanning a ## degree range in April T.**</w:t>
      </w:r>
      <w:r>
        <w:t xml:space="preserve"> </w:t>
      </w:r>
      <w:r>
        <w:rPr>
          <w:iCs/>
          <w:i/>
        </w:rPr>
        <w:t xml:space="preserve">(describe results across all sites)</w:t>
      </w:r>
      <w:r>
        <w:t xml:space="preserve"> </w:t>
      </w:r>
      <w:r>
        <w:t xml:space="preserve">(Fig. 4)</w:t>
      </w:r>
    </w:p>
    <w:bookmarkEnd w:id="33"/>
    <w:bookmarkEnd w:id="34"/>
    <w:bookmarkStart w:id="35" w:name="discussion"/>
    <w:p>
      <w:pPr>
        <w:pStyle w:val="Heading1"/>
      </w:pPr>
      <w:r>
        <w:t xml:space="preserve">(Discussion)</w:t>
      </w:r>
    </w:p>
    <w:p>
      <w:pPr>
        <w:pStyle w:val="FirstParagraph"/>
      </w:pPr>
      <w:r>
        <w:t xml:space="preserve">(</w:t>
      </w:r>
      <w:r>
        <w:rPr>
          <w:iCs/>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( 1- 3). Using dendroband data, we found that the peak growing season generally advanced as the critical spring windows warmed (Fig. 3).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w:t>
      </w:r>
      <w:r>
        <w:t xml:space="preserve">(Fig 2). The lack of influence Spring</w:t>
      </w:r>
      <w:r>
        <w:t xml:space="preserve"> </w:t>
      </w:r>
      <m:oMath>
        <m:sSub>
          <m:e>
            <m:r>
              <m:t>T</m:t>
            </m:r>
          </m:e>
          <m:sub>
            <m:r>
              <m:t>m</m:t>
            </m:r>
            <m:r>
              <m:t>a</m:t>
            </m:r>
            <m:r>
              <m:t>x</m:t>
            </m:r>
          </m:sub>
        </m:sSub>
      </m:oMath>
      <w:r>
        <w:t xml:space="preserve"> </w:t>
      </w:r>
      <w:r>
        <w:t xml:space="preserve">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1-3).</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Cs/>
          <w:i/>
        </w:rPr>
        <w:t xml:space="preserve">(find/cite some statistics on how rapidly leaf phenology or start of C sequestration advance with T— This could be tough. It looks like that varies alot by region and species.)</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Cs/>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 annual growth is most commonly controlled by climate conditions during the peak growing season [Fig. 4;],</w:t>
      </w:r>
      <w:r>
        <w:rPr>
          <w:vertAlign w:val="superscript"/>
        </w:rPr>
        <w:t xml:space="preserve">22</w:t>
      </w:r>
      <w:r>
        <w:t xml:space="preserve"> .</w:t>
      </w:r>
      <w:r>
        <w:t xml:space="preserve"> </w:t>
      </w:r>
      <w:r>
        <w:t xml:space="preserve">(</w:t>
      </w:r>
      <w:r>
        <w:rPr>
          <w:iCs/>
          <w:i/>
        </w:rPr>
        <w:t xml:space="preserve">1-2 sentences reviewing our regional analysis results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3 ,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14</w:t>
      </w:r>
      <w:r>
        <w:t xml:space="preserve"> </w:t>
      </w:r>
      <w:r>
        <w:t xml:space="preserve">because growth finishes sooner under these conditions, presumably because of</w:t>
      </w:r>
      <w:r>
        <w:t xml:space="preserve"> </w:t>
      </w:r>
      <w:r>
        <w:rPr>
          <w:iCs/>
          <w:i/>
        </w:rPr>
        <w:t xml:space="preserve">C sink limitation</w:t>
      </w:r>
      <w:r>
        <w:t xml:space="preserve">.</w:t>
      </w:r>
      <w:r>
        <w:rPr>
          <w:vertAlign w:val="superscript"/>
        </w:rPr>
        <w:t xml:space="preserve">14</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14</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bookmarkEnd w:id="35"/>
    <w:bookmarkStart w:id="36"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12,21</w:t>
      </w:r>
      <w:r>
        <w:t xml:space="preserve"> This idea agrees with patterns seen in tree cores, where peak growing season climate was more influential than spring climate</w:t>
      </w:r>
      <w:r>
        <w:rPr>
          <w:vertAlign w:val="superscript"/>
        </w:rPr>
        <w:t xml:space="preserve">22</w:t>
      </w:r>
      <w:r>
        <w:t xml:space="preserve"> </w:t>
      </w:r>
      <w:r>
        <w:t xml:space="preserve">but many models still predict the extension of growing season will increase NEE.</w:t>
      </w:r>
    </w:p>
    <w:p>
      <w:pPr>
        <w:pStyle w:val="BodyText"/>
      </w:pPr>
      <w:r>
        <w:rPr>
          <w:vertAlign w:val="superscript"/>
        </w:rPr>
        <w:t xml:space="preserve">24</w:t>
      </w:r>
    </w:p>
    <w:p>
      <w:pPr>
        <w:pStyle w:val="BodyText"/>
      </w:pPr>
      <w:r>
        <w:t xml:space="preserve">From Neil:,</w:t>
      </w:r>
      <w:r>
        <w:rPr>
          <w:vertAlign w:val="superscript"/>
        </w:rPr>
        <w:t xml:space="preserve">25</w:t>
      </w:r>
      <w:r>
        <w:rPr>
          <w:vertAlign w:val="superscript"/>
        </w:rPr>
        <w:t xml:space="preserve">26</w:t>
      </w:r>
    </w:p>
    <w:p>
      <w:pPr>
        <w:pStyle w:val="BodyText"/>
      </w:pPr>
      <w:r>
        <w:t xml:space="preserve">effect of spring temperature on annual growth in New England:</w:t>
      </w:r>
      <w:r>
        <w:rPr>
          <w:vertAlign w:val="superscript"/>
        </w:rPr>
        <w:t xml:space="preserve">27</w:t>
      </w:r>
    </w:p>
    <w:p>
      <w:pPr>
        <w:pStyle w:val="BodyText"/>
      </w:pPr>
      <w:r>
        <w:t xml:space="preserve">results align with,</w:t>
      </w:r>
      <w:r>
        <w:rPr>
          <w:vertAlign w:val="superscript"/>
        </w:rPr>
        <w:t xml:space="preserve">12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6"/>
    <w:bookmarkStart w:id="46" w:name="methods"/>
    <w:p>
      <w:pPr>
        <w:pStyle w:val="Heading1"/>
      </w:pPr>
      <w:r>
        <w:t xml:space="preserve">Methods</w:t>
      </w:r>
    </w:p>
    <w:bookmarkStart w:id="37"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Cs/>
          <w:i/>
        </w:rPr>
        <w:t xml:space="preserve">Liriodendron tulipifera</w:t>
      </w:r>
      <w:r>
        <w:t xml:space="preserve">), oaks (</w:t>
      </w:r>
      <w:r>
        <w:rPr>
          <w:iCs/>
          <w:i/>
        </w:rPr>
        <w:t xml:space="preserve">Quercus spp.</w:t>
      </w:r>
      <w:r>
        <w:t xml:space="preserve">), hickories (</w:t>
      </w:r>
      <w:r>
        <w:rPr>
          <w:iCs/>
          <w:i/>
        </w:rPr>
        <w:t xml:space="preserve">Carya spp.</w:t>
      </w:r>
      <w:r>
        <w:t xml:space="preserve">).</w:t>
      </w:r>
      <w:r>
        <w:t xml:space="preserve"> </w:t>
      </w:r>
      <w:r>
        <w:t xml:space="preserve">The climate is humid temperate, with a mean annual precipitation of 998 mm and temperatures averaging 1° C in January and 24° C in July ([helcoski_growing_2019]).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Cs/>
          <w:i/>
        </w:rPr>
        <w:t xml:space="preserve">(time frame)</w:t>
      </w:r>
      <w:r>
        <w:t xml:space="preserve"> </w:t>
      </w:r>
      <w:r>
        <w:t xml:space="preserve">and signficant hurricane damage in</w:t>
      </w:r>
      <w:r>
        <w:t xml:space="preserve"> </w:t>
      </w:r>
      <w:r>
        <w:rPr>
          <w:iCs/>
          <w:i/>
        </w:rPr>
        <w:t xml:space="preserve">YEAR</w:t>
      </w:r>
      <w:r>
        <w:t xml:space="preserve">.</w:t>
      </w:r>
      <w:r>
        <w:t xml:space="preserve"> </w:t>
      </w:r>
      <w:r>
        <w:t xml:space="preserve">Dominate species within the 35 ha ForestGEO plot are hemlock (</w:t>
      </w:r>
      <w:r>
        <w:rPr>
          <w:iCs/>
          <w:i/>
        </w:rPr>
        <w:t xml:space="preserve">Tsuga spp.</w:t>
      </w:r>
      <w:r>
        <w:t xml:space="preserve">), oak (</w:t>
      </w:r>
      <w:r>
        <w:rPr>
          <w:iCs/>
          <w:i/>
        </w:rPr>
        <w:t xml:space="preserve">Quercus spp.</w:t>
      </w:r>
      <w:r>
        <w:t xml:space="preserve">) and maple (</w:t>
      </w:r>
      <w:r>
        <w:rPr>
          <w:iCs/>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7"/>
    <w:bookmarkStart w:id="43" w:name="data-collection-and-preparation"/>
    <w:p>
      <w:pPr>
        <w:pStyle w:val="Heading2"/>
      </w:pPr>
      <w:r>
        <w:t xml:space="preserve">Data collection and preparation</w:t>
      </w:r>
    </w:p>
    <w:bookmarkStart w:id="38"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Cs/>
          <w:i/>
        </w:rPr>
        <w:t xml:space="preserve">(tags_per_year_preclean in data folder)</w:t>
      </w:r>
      <w:r>
        <w:t xml:space="preserve">.</w:t>
      </w:r>
      <w:r>
        <w:t xml:space="preserve"> </w:t>
      </w:r>
      <w:r>
        <w:t xml:space="preserve">Across years, the number of bands sampled averaged</w:t>
      </w:r>
      <w:r>
        <w:t xml:space="preserve"> </w:t>
      </w:r>
      <w:r>
        <w:rPr>
          <w:iCs/>
          <w:i/>
        </w:rPr>
        <w:t xml:space="preserve">~135</w:t>
      </w:r>
      <w:r>
        <w:t xml:space="preserve"> </w:t>
      </w:r>
      <w:r>
        <w:t xml:space="preserve">(range: 99-145) at SCBI and</w:t>
      </w:r>
      <w:r>
        <w:t xml:space="preserve"> </w:t>
      </w:r>
      <w:r>
        <w:rPr>
          <w:iCs/>
          <w:i/>
        </w:rPr>
        <w:t xml:space="preserve">~717</w:t>
      </w:r>
      <w:r>
        <w:t xml:space="preserve"> </w:t>
      </w:r>
      <w:r>
        <w:t xml:space="preserve">(range:</w:t>
      </w:r>
      <w:r>
        <w:t xml:space="preserve"> </w:t>
      </w:r>
      <w:r>
        <w:rPr>
          <w:iCs/>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rPr>
          <w:vertAlign w:val="superscript"/>
        </w:rPr>
        <w:t xml:space="preserve">23</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rPr>
              <m:sty m:val="p"/>
            </m:rPr>
            <m:t>=</m:t>
          </m:r>
          <m:r>
            <m:t>L</m:t>
          </m:r>
          <m:r>
            <m:rPr>
              <m:sty m:val="p"/>
            </m:rPr>
            <m:t>+</m:t>
          </m:r>
          <m:f>
            <m:fPr>
              <m:type m:val="bar"/>
            </m:fPr>
            <m:num>
              <m:r>
                <m:t>K</m:t>
              </m:r>
              <m:r>
                <m:rPr>
                  <m:sty m:val="p"/>
                </m:rPr>
                <m:t>−</m:t>
              </m:r>
              <m:r>
                <m:t>L</m:t>
              </m:r>
            </m:num>
            <m:den>
              <m:r>
                <m:t>1</m:t>
              </m:r>
              <m:r>
                <m:rPr>
                  <m:sty m:val="p"/>
                </m:rPr>
                <m:t>+</m:t>
              </m:r>
              <m:r>
                <m:t>1</m:t>
              </m:r>
              <m:r>
                <m:rPr>
                  <m:sty m:val="p"/>
                </m:rPr>
                <m:t>/</m:t>
              </m:r>
              <m:r>
                <m:t>θ</m:t>
              </m:r>
              <m:r>
                <m:rPr>
                  <m:sty m:val="p"/>
                </m:rPr>
                <m:t>⋅</m:t>
              </m:r>
              <m:r>
                <m:t>e</m:t>
              </m:r>
              <m:r>
                <m:t>x</m:t>
              </m:r>
              <m:r>
                <m:t>p</m:t>
              </m:r>
              <m:r>
                <m:rPr>
                  <m:sty m:val="p"/>
                </m:rPr>
                <m:t>[</m:t>
              </m:r>
              <m:r>
                <m:rPr>
                  <m:sty m:val="p"/>
                </m:rPr>
                <m:t>−</m:t>
              </m:r>
              <m:r>
                <m:t>r</m:t>
              </m:r>
              <m:r>
                <m:rPr>
                  <m:sty m:val="p"/>
                </m:rPr>
                <m:t>(</m:t>
              </m:r>
              <m:r>
                <m:t>D</m:t>
              </m:r>
              <m:r>
                <m:t>O</m:t>
              </m:r>
              <m:r>
                <m:t>Y</m:t>
              </m:r>
              <m:r>
                <m:rPr>
                  <m:sty m:val="p"/>
                </m:rPr>
                <m:t>−</m:t>
              </m:r>
              <m:r>
                <m:t>D</m:t>
              </m:r>
              <m:r>
                <m:t>O</m:t>
              </m:r>
              <m:sSub>
                <m:e>
                  <m:r>
                    <m:t>Y</m:t>
                  </m:r>
                </m:e>
                <m:sub>
                  <m:r>
                    <m:t>i</m:t>
                  </m:r>
                  <m:r>
                    <m:t>p</m:t>
                  </m:r>
                </m:sub>
              </m:sSub>
              <m:r>
                <m:rPr>
                  <m:sty m:val="p"/>
                </m:rPr>
                <m:t>)</m:t>
              </m:r>
              <m:r>
                <m:rPr>
                  <m:sty m:val="p"/>
                </m:rPr>
                <m:t>/</m:t>
              </m:r>
              <m:r>
                <m:t>θ</m:t>
              </m:r>
              <m:r>
                <m:rPr>
                  <m:sty m:val="p"/>
                </m:rPr>
                <m:t>)</m:t>
              </m:r>
              <m:sSup>
                <m:e>
                  <m:r>
                    <m:rPr>
                      <m:sty m:val="p"/>
                    </m:rP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Cs/>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Cs/>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Cs/>
          <w:i/>
        </w:rPr>
        <w:t xml:space="preserve">We note that the DOY on which maximum growth occurs,</w:t>
      </w:r>
      <w:r>
        <w:rPr>
          <w:iCs/>
          <w:i/>
        </w:rPr>
        <w:t xml:space="preserve"> </w:t>
      </w:r>
      <m:oMath>
        <m:r>
          <m:t>D</m:t>
        </m:r>
        <m:r>
          <m:t>O</m:t>
        </m:r>
        <m:sSub>
          <m:e>
            <m:r>
              <m:t>Y</m:t>
            </m:r>
          </m:e>
          <m:sub>
            <m:sSub>
              <m:e>
                <m:r>
                  <m:t>g</m:t>
                </m:r>
              </m:e>
              <m:sub>
                <m:r>
                  <m:t>m</m:t>
                </m:r>
                <m:r>
                  <m:t>a</m:t>
                </m:r>
                <m:r>
                  <m:t>x</m:t>
                </m:r>
              </m:sub>
            </m:sSub>
          </m:sub>
        </m:sSub>
      </m:oMath>
      <w:r>
        <w:rPr>
          <w:iCs/>
          <w:i/>
        </w:rPr>
        <w:t xml:space="preserve"> </w:t>
      </w:r>
      <w:r>
        <w:rPr>
          <w:iCs/>
          <w:i/>
        </w:rPr>
        <w:t xml:space="preserve">(Fig. 1) occurs on</w:t>
      </w:r>
      <w:r>
        <w:rPr>
          <w:iCs/>
          <w:i/>
        </w:rPr>
        <w:t xml:space="preserve"> </w:t>
      </w:r>
      <m:oMath>
        <m:r>
          <m:t>D</m:t>
        </m:r>
        <m:r>
          <m:t>O</m:t>
        </m:r>
        <m:sSub>
          <m:e>
            <m:r>
              <m:t>Y</m:t>
            </m:r>
          </m:e>
          <m:sub>
            <m:r>
              <m:t>i</m:t>
            </m:r>
            <m:r>
              <m:t>p</m:t>
            </m:r>
          </m:sub>
        </m:sSub>
      </m:oMath>
      <w:r>
        <w:rPr>
          <w:iCs/>
          <w:i/>
        </w:rPr>
        <w:t xml:space="preserve"> </w:t>
      </w:r>
      <w:r>
        <w:rPr>
          <w:iCs/>
          <w:i/>
        </w:rPr>
        <w:t xml:space="preserve">only when</w:t>
      </w:r>
      <w:r>
        <w:rPr>
          <w:iCs/>
          <w:i/>
        </w:rPr>
        <w:t xml:space="preserve"> </w:t>
      </w:r>
      <m:oMath>
        <m:r>
          <m:t>θ</m:t>
        </m:r>
        <m:r>
          <m:rPr>
            <m:sty m:val="p"/>
          </m:rPr>
          <m:t>=</m:t>
        </m:r>
        <m:r>
          <m:t>1</m:t>
        </m:r>
      </m:oMath>
      <w:r>
        <w:rPr>
          <w:iCs/>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rPr>
          <w:vertAlign w:val="superscript"/>
        </w:rPr>
        <w:t xml:space="preserve">23</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rPr>
            <m:sty m:val="p"/>
          </m:rP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Cs/>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Cs/>
          <w:i/>
        </w:rPr>
        <w:t xml:space="preserve">(data_cleaning_figure_scbi)</w:t>
      </w:r>
      <w:r>
        <w:t xml:space="preserve">.</w:t>
      </w:r>
    </w:p>
    <w:bookmarkEnd w:id="38"/>
    <w:bookmarkStart w:id="39"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Cs/>
          <w:i/>
        </w:rPr>
        <w:t xml:space="preserve">Juglans nigra</w:t>
      </w:r>
      <w:r>
        <w:t xml:space="preserve"> </w:t>
      </w:r>
      <w:r>
        <w:t xml:space="preserve">L. at SCBI,</w:t>
      </w:r>
      <w:r>
        <w:t xml:space="preserve"> </w:t>
      </w:r>
      <w:r>
        <w:rPr>
          <w:iCs/>
          <w:i/>
        </w:rPr>
        <w:t xml:space="preserve">Tsuga Canadensis</w:t>
      </w:r>
      <w:r>
        <w:t xml:space="preserve"> </w:t>
      </w:r>
      <w:r>
        <w:t xml:space="preserve">(L.) Carrière at Harvard Forest)</w:t>
      </w:r>
      <w:r>
        <w:t xml:space="preserve"> </w:t>
      </w:r>
      <w:r>
        <w:t xml:space="preserve">At SCBI, cores were collected as described in.</w:t>
      </w:r>
      <w:r>
        <w:rPr>
          <w:vertAlign w:val="superscript"/>
        </w:rPr>
        <w:t xml:space="preserve">22</w:t>
      </w:r>
      <w:r>
        <w:t xml:space="preserve"> </w:t>
      </w:r>
      <w:r>
        <w:t xml:space="preserve">Briefly, cores were taken from living or recently dead trees</w:t>
      </w:r>
      <w:r>
        <w:t xml:space="preserve"> </w:t>
      </w:r>
      <m:oMath>
        <m:r>
          <m:rPr>
            <m:sty m:val="p"/>
          </m:rPr>
          <m:t>≥</m:t>
        </m:r>
      </m:oMath>
      <w:r>
        <w:t xml:space="preserve"> </w:t>
      </w:r>
      <w:r>
        <w:t xml:space="preserve">10 cm</w:t>
      </w:r>
      <w:r>
        <w:t xml:space="preserve"> </w:t>
      </w:r>
      <m:oMath>
        <m:r>
          <m:t>D</m:t>
        </m:r>
        <m:r>
          <m:t>B</m:t>
        </m:r>
        <m:r>
          <m:t>H</m:t>
        </m:r>
      </m:oMath>
      <w:r>
        <w:t xml:space="preserve">, including a randomly sampled subset of all dominant species within the ForestGEO plot [live trees in 2010-2011;]</w:t>
      </w:r>
      <w:r>
        <w:rPr>
          <w:vertAlign w:val="superscript"/>
        </w:rPr>
        <w:t xml:space="preserve">28</w:t>
      </w:r>
      <w:r>
        <w:t xml:space="preserve"> and trees found newly dead in annual tree mortality in 2016 and 2017.</w:t>
      </w:r>
      <w:r>
        <w:rPr>
          <w:vertAlign w:val="superscript"/>
        </w:rPr>
        <w:t xml:space="preserve">22</w:t>
      </w:r>
      <w:r>
        <w:t xml:space="preserve"> </w:t>
      </w:r>
      <w:r>
        <w:t xml:space="preserve">At Harvard Forest, …(</w:t>
      </w:r>
      <w:r>
        <w:rPr>
          <w:iCs/>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The tree-ring records from our focal sites were complemented with a much larger collection spanning</w:t>
      </w:r>
      <w:r>
        <w:t xml:space="preserve"> </w:t>
      </w:r>
      <w:r>
        <w:rPr>
          <w:bCs/>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29,30</w:t>
      </w:r>
      <w:r>
        <w:t xml:space="preserve"> </w:t>
      </w:r>
      <w:r>
        <w:rPr>
          <w:iCs/>
          <w:i/>
        </w:rPr>
        <w:t xml:space="preserve">The following italic text is self-plagarized from Helcoski and needs to be reworded:)</w:t>
      </w:r>
      <w:r>
        <w:t xml:space="preserve"> </w:t>
      </w:r>
      <w:r>
        <w:rPr>
          <w:iCs/>
          <w:i/>
        </w:rPr>
        <w:t xml:space="preserve">The influence of outliers in all series was reduced using the adaptive power transformation, which also stabilises the variance over time.</w:t>
      </w:r>
      <w:r>
        <w:rPr>
          <w:vertAlign w:val="superscript"/>
          <w:iCs/>
          <w:i/>
        </w:rPr>
        <w:t xml:space="preserve">31</w:t>
      </w:r>
      <w:r>
        <w:rPr>
          <w:iCs/>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Cs/>
          <w:i/>
        </w:rPr>
        <w:t xml:space="preserve">32</w:t>
      </w:r>
      <w:r>
        <w:rPr>
          <w:iCs/>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Cs/>
          <w:i/>
        </w:rPr>
        <w:t xml:space="preserve">29</w:t>
      </w:r>
      <w:r>
        <w:rPr>
          <w:iCs/>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Cs/>
          <w:i/>
        </w:rPr>
        <w:t xml:space="preserve">29</w:t>
      </w:r>
      <w:r>
        <w:t xml:space="preserve"> </w:t>
      </w:r>
      <w:r>
        <w:t xml:space="preserve">We defined chronology start year (Table S1) as the year where subsample signal strength (SSS) passed a threshold of SSS = 0.8, or where</w:t>
      </w:r>
      <w:r>
        <w:t xml:space="preserve"> </w:t>
      </w:r>
      <m:oMath>
        <m:r>
          <m:rPr>
            <m:sty m:val="p"/>
          </m:rPr>
          <m:t>≥</m:t>
        </m:r>
      </m:oMath>
      <w:r>
        <w:t xml:space="preserve"> </w:t>
      </w:r>
      <w:r>
        <w:t xml:space="preserve">80% of the population signal was captured in the chronology.</w:t>
      </w:r>
    </w:p>
    <w:bookmarkEnd w:id="39"/>
    <w:bookmarkStart w:id="42"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 [</w:t>
      </w:r>
      <w:hyperlink r:id="rId40">
        <w:r>
          <w:rPr>
            <w:rStyle w:val="Hyperlink"/>
          </w:rPr>
          <w:t xml:space="preserve">https://forestgeo.github.io/Climate/</w:t>
        </w:r>
      </w:hyperlink>
      <w:r>
        <w:t xml:space="preserve">;].</w:t>
      </w:r>
      <w:r>
        <w:rPr>
          <w:vertAlign w:val="superscript"/>
        </w:rPr>
        <w:t xml:space="preserve">33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1">
        <w:r>
          <w:rPr>
            <w:rStyle w:val="Hyperlink"/>
          </w:rPr>
          <w:t xml:space="preserve">https://www.ncdc.noaa.gov/cdo-web/datasets/GHCND/stations/GHCND:USC00443229/detail</w:t>
        </w:r>
      </w:hyperlink>
      <w:r>
        <w:t xml:space="preserve">).</w:t>
      </w:r>
      <w:r>
        <w:t xml:space="preserve"> </w:t>
      </w:r>
      <w:r>
        <w:t xml:space="preserve">(</w:t>
      </w:r>
      <w:r>
        <w:rPr>
          <w:iCs/>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34</w:t>
      </w:r>
      <w:r>
        <w:t xml:space="preserve"> again via the ForestGEO Climate Data Portal v1.0.</w:t>
      </w:r>
      <w:r>
        <w:rPr>
          <w:vertAlign w:val="superscript"/>
        </w:rPr>
        <w:t xml:space="preserve">33</w:t>
      </w:r>
    </w:p>
    <w:bookmarkEnd w:id="42"/>
    <w:bookmarkEnd w:id="43"/>
    <w:bookmarkStart w:id="44"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Cs/>
          <w:i/>
        </w:rPr>
        <w:t xml:space="preserve">climwin</w:t>
      </w:r>
      <w:r>
        <w:t xml:space="preserve">.</w:t>
      </w:r>
      <w:r>
        <w:rPr>
          <w:vertAlign w:val="superscript"/>
        </w:rPr>
        <w:t xml:space="preserve">35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Cs/>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22</w:t>
      </w:r>
      <w:r>
        <w:t xml:space="preserve"> Determining the climate variables that most strongly control all parameters is beyond the scope of this analysis.</w:t>
      </w:r>
    </w:p>
    <w:bookmarkEnd w:id="44"/>
    <w:bookmarkStart w:id="45" w:name="hypothesis-testing"/>
    <w:p>
      <w:pPr>
        <w:pStyle w:val="Heading2"/>
      </w:pPr>
      <w:r>
        <w:t xml:space="preserve">Hypothesis testing</w:t>
      </w:r>
    </w:p>
    <w:p>
      <w:pPr>
        <w:pStyle w:val="FirstParagraph"/>
      </w:pPr>
      <w:r>
        <w:t xml:space="preserve">(</w:t>
      </w:r>
      <w:r>
        <w:rPr>
          <w:iCs/>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Cs/>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36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rPr>
          <w:bCs/>
          <w:b/>
          <w:vertAlign w:val="superscript"/>
        </w:rPr>
        <w:t xml:space="preserve">rstanarm_2020?</w:t>
      </w:r>
      <w:r>
        <w:t xml:space="preserve"> In all cases unless otherwise specified, all prior distributions are set to be the weakly informative defaults.</w:t>
      </w:r>
      <w:r>
        <w:t xml:space="preserve"> </w:t>
      </w:r>
    </w:p>
    <w:bookmarkEnd w:id="45"/>
    <w:bookmarkEnd w:id="46"/>
    <w:bookmarkStart w:id="47"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7"/>
    <w:bookmarkStart w:id="48" w:name="author-contributions"/>
    <w:p>
      <w:pPr>
        <w:pStyle w:val="Heading1"/>
      </w:pPr>
      <w:r>
        <w:t xml:space="preserve">Author Contributions</w:t>
      </w:r>
    </w:p>
    <w:bookmarkEnd w:id="48"/>
    <w:bookmarkStart w:id="49" w:name="supporting-information"/>
    <w:p>
      <w:pPr>
        <w:pStyle w:val="Heading1"/>
      </w:pPr>
      <w:r>
        <w:t xml:space="preserve">Supporting Information</w:t>
      </w:r>
    </w:p>
    <w:bookmarkEnd w:id="49"/>
    <w:bookmarkStart w:id="91" w:name="references"/>
    <w:p>
      <w:pPr>
        <w:pStyle w:val="Heading1"/>
      </w:pPr>
      <w:r>
        <w:t xml:space="preserve">References</w:t>
      </w:r>
    </w:p>
    <w:bookmarkStart w:id="90" w:name="refs"/>
    <w:bookmarkStart w:id="50" w:name="ref-jeong_phenology_2011"/>
    <w:p>
      <w:pPr>
        <w:pStyle w:val="Bibliography"/>
      </w:pPr>
      <w:r>
        <w:t xml:space="preserve">1.</w:t>
      </w:r>
      <w:r>
        <w:t xml:space="preserve"> </w:t>
      </w:r>
      <w:r>
        <w:t xml:space="preserve">	</w:t>
      </w:r>
      <w:r>
        <w:t xml:space="preserve">Jeong, S.-J., Ho, C.-H., Gim, H.-J. &amp; Brown, M. E. Phenology shifts at start vs. End of growing season in temperate vegetation over the</w:t>
      </w:r>
      <w:r>
        <w:t xml:space="preserve"> </w:t>
      </w:r>
      <w:r>
        <w:t xml:space="preserve">Northern Hemisphere</w:t>
      </w:r>
      <w:r>
        <w:t xml:space="preserve"> </w:t>
      </w:r>
      <w:r>
        <w:t xml:space="preserve">for the period 1982</w:t>
      </w:r>
      <w:r>
        <w:t xml:space="preserve">.</w:t>
      </w:r>
      <w:r>
        <w:t xml:space="preserve"> </w:t>
      </w:r>
      <w:r>
        <w:rPr>
          <w:iCs/>
          <w:i/>
        </w:rPr>
        <w:t xml:space="preserve">Global Change Biology</w:t>
      </w:r>
      <w:r>
        <w:t xml:space="preserve"> </w:t>
      </w:r>
      <w:r>
        <w:rPr>
          <w:bCs/>
          <w:b/>
        </w:rPr>
        <w:t xml:space="preserve">17</w:t>
      </w:r>
      <w:r>
        <w:t xml:space="preserve">, 2385–2399 (2011).</w:t>
      </w:r>
    </w:p>
    <w:bookmarkEnd w:id="50"/>
    <w:bookmarkStart w:id="51" w:name="ref-menzel_growing_1999"/>
    <w:p>
      <w:pPr>
        <w:pStyle w:val="Bibliography"/>
      </w:pPr>
      <w:r>
        <w:t xml:space="preserve">2.</w:t>
      </w:r>
      <w:r>
        <w:t xml:space="preserve"> </w:t>
      </w:r>
      <w:r>
        <w:t xml:space="preserve">	</w:t>
      </w:r>
      <w:r>
        <w:t xml:space="preserve">Menzel, A. &amp; Fabian, P. Growing season extended in</w:t>
      </w:r>
      <w:r>
        <w:t xml:space="preserve"> </w:t>
      </w:r>
      <w:r>
        <w:t xml:space="preserve">Europe</w:t>
      </w:r>
      <w:r>
        <w:t xml:space="preserve">.</w:t>
      </w:r>
      <w:r>
        <w:t xml:space="preserve"> </w:t>
      </w:r>
      <w:r>
        <w:rPr>
          <w:iCs/>
          <w:i/>
        </w:rPr>
        <w:t xml:space="preserve">Nature</w:t>
      </w:r>
      <w:r>
        <w:t xml:space="preserve"> </w:t>
      </w:r>
      <w:r>
        <w:rPr>
          <w:bCs/>
          <w:b/>
        </w:rPr>
        <w:t xml:space="preserve">397</w:t>
      </w:r>
      <w:r>
        <w:t xml:space="preserve">, 659–659 (1999).</w:t>
      </w:r>
    </w:p>
    <w:bookmarkEnd w:id="51"/>
    <w:bookmarkStart w:id="52" w:name="ref-menzel_european_2006"/>
    <w:p>
      <w:pPr>
        <w:pStyle w:val="Bibliography"/>
      </w:pPr>
      <w:r>
        <w:t xml:space="preserve">3.</w:t>
      </w:r>
      <w:r>
        <w:t xml:space="preserve"> </w:t>
      </w:r>
      <w:r>
        <w:t xml:space="preserve">	</w:t>
      </w:r>
      <w:r>
        <w:t xml:space="preserve">Menzel, A.</w:t>
      </w:r>
      <w:r>
        <w:t xml:space="preserve"> </w:t>
      </w:r>
      <w:r>
        <w:rPr>
          <w:iCs/>
          <w:i/>
        </w:rPr>
        <w:t xml:space="preserve">et al.</w:t>
      </w:r>
      <w:r>
        <w:t xml:space="preserve"> European phenological response to climate change matches the warming pattern.</w:t>
      </w:r>
      <w:r>
        <w:t xml:space="preserve"> </w:t>
      </w:r>
      <w:r>
        <w:rPr>
          <w:iCs/>
          <w:i/>
        </w:rPr>
        <w:t xml:space="preserve">Global Change Biology</w:t>
      </w:r>
      <w:r>
        <w:t xml:space="preserve"> </w:t>
      </w:r>
      <w:r>
        <w:rPr>
          <w:bCs/>
          <w:b/>
        </w:rPr>
        <w:t xml:space="preserve">12</w:t>
      </w:r>
      <w:r>
        <w:t xml:space="preserve">, 1969–1976 (2006).</w:t>
      </w:r>
    </w:p>
    <w:bookmarkEnd w:id="52"/>
    <w:bookmarkStart w:id="53" w:name="ref-ibanez_forecasting_2010"/>
    <w:p>
      <w:pPr>
        <w:pStyle w:val="Bibliography"/>
      </w:pPr>
      <w:r>
        <w:t xml:space="preserve">4.</w:t>
      </w:r>
      <w:r>
        <w:t xml:space="preserve"> </w:t>
      </w:r>
      <w:r>
        <w:t xml:space="preserve">	</w:t>
      </w:r>
      <w:r>
        <w:t xml:space="preserve">Ibáñez, I.</w:t>
      </w:r>
      <w:r>
        <w:t xml:space="preserve"> </w:t>
      </w:r>
      <w:r>
        <w:rPr>
          <w:iCs/>
          <w:i/>
        </w:rPr>
        <w:t xml:space="preserve">et al.</w:t>
      </w:r>
      <w:r>
        <w:t xml:space="preserve"> Forecasting phenology under global warming.</w:t>
      </w:r>
      <w:r>
        <w:t xml:space="preserve"> </w:t>
      </w:r>
      <w:r>
        <w:rPr>
          <w:iCs/>
          <w:i/>
        </w:rPr>
        <w:t xml:space="preserve">Philosophical Transactions of the Royal Society B: Biological Sciences</w:t>
      </w:r>
      <w:r>
        <w:t xml:space="preserve"> </w:t>
      </w:r>
      <w:r>
        <w:rPr>
          <w:bCs/>
          <w:b/>
        </w:rPr>
        <w:t xml:space="preserve">365</w:t>
      </w:r>
      <w:r>
        <w:t xml:space="preserve">, 3247–3260 (2010).</w:t>
      </w:r>
    </w:p>
    <w:bookmarkEnd w:id="53"/>
    <w:bookmarkStart w:id="54" w:name="ref-keeling_increased_1996"/>
    <w:p>
      <w:pPr>
        <w:pStyle w:val="Bibliography"/>
      </w:pPr>
      <w:r>
        <w:t xml:space="preserve">5.</w:t>
      </w:r>
      <w:r>
        <w:t xml:space="preserve"> </w:t>
      </w:r>
      <w:r>
        <w:t xml:space="preserve">	</w:t>
      </w:r>
      <w:r>
        <w:t xml:space="preserve">Keeling, C. D., Chin, J. F. S. &amp; Whorf, T. P. Increased activity of northern vegetation inferred from atmospheric</w:t>
      </w:r>
      <w:r>
        <w:t xml:space="preserve"> </w:t>
      </w:r>
      <w:r>
        <w:t xml:space="preserve">CO</w:t>
      </w:r>
      <w:r>
        <w:t xml:space="preserve"> </w:t>
      </w:r>
      <w:r>
        <w:t xml:space="preserve">2 measurements.</w:t>
      </w:r>
      <w:r>
        <w:t xml:space="preserve"> </w:t>
      </w:r>
      <w:r>
        <w:rPr>
          <w:iCs/>
          <w:i/>
        </w:rPr>
        <w:t xml:space="preserve">Nature</w:t>
      </w:r>
      <w:r>
        <w:t xml:space="preserve"> </w:t>
      </w:r>
      <w:r>
        <w:rPr>
          <w:bCs/>
          <w:b/>
        </w:rPr>
        <w:t xml:space="preserve">382</w:t>
      </w:r>
      <w:r>
        <w:t xml:space="preserve">, 146–149 (1996).</w:t>
      </w:r>
    </w:p>
    <w:bookmarkEnd w:id="54"/>
    <w:bookmarkStart w:id="55" w:name="ref-dragoni_evidence_2011"/>
    <w:p>
      <w:pPr>
        <w:pStyle w:val="Bibliography"/>
      </w:pPr>
      <w:r>
        <w:t xml:space="preserve">6.</w:t>
      </w:r>
      <w:r>
        <w:t xml:space="preserve"> </w:t>
      </w:r>
      <w:r>
        <w:t xml:space="preserve">	</w:t>
      </w:r>
      <w:r>
        <w:t xml:space="preserve">Dragoni, D.</w:t>
      </w:r>
      <w:r>
        <w:t xml:space="preserve"> </w:t>
      </w:r>
      <w:r>
        <w:rPr>
          <w:iCs/>
          <w:i/>
        </w:rPr>
        <w:t xml:space="preserve">et al.</w:t>
      </w:r>
      <w:r>
        <w:t xml:space="preserve"> Evidence of increased net ecosystem productivity associated with a longer vegetated season in a deciduous forest in south-central</w:t>
      </w:r>
      <w:r>
        <w:t xml:space="preserve"> </w:t>
      </w:r>
      <w:r>
        <w:t xml:space="preserve">Indiana</w:t>
      </w:r>
      <w:r>
        <w:t xml:space="preserve">,</w:t>
      </w:r>
      <w:r>
        <w:t xml:space="preserve"> </w:t>
      </w:r>
      <w:r>
        <w:t xml:space="preserve">USA</w:t>
      </w:r>
      <w:r>
        <w:t xml:space="preserve">.</w:t>
      </w:r>
      <w:r>
        <w:t xml:space="preserve"> </w:t>
      </w:r>
      <w:r>
        <w:rPr>
          <w:iCs/>
          <w:i/>
        </w:rPr>
        <w:t xml:space="preserve">Global Change Biology</w:t>
      </w:r>
      <w:r>
        <w:t xml:space="preserve"> </w:t>
      </w:r>
      <w:r>
        <w:rPr>
          <w:bCs/>
          <w:b/>
        </w:rPr>
        <w:t xml:space="preserve">17</w:t>
      </w:r>
      <w:r>
        <w:t xml:space="preserve">, 886–897 (2011).</w:t>
      </w:r>
    </w:p>
    <w:bookmarkEnd w:id="55"/>
    <w:bookmarkStart w:id="56" w:name="ref-crabbe_extreme_2016"/>
    <w:p>
      <w:pPr>
        <w:pStyle w:val="Bibliography"/>
      </w:pPr>
      <w:r>
        <w:t xml:space="preserve">7.</w:t>
      </w:r>
      <w:r>
        <w:t xml:space="preserve"> </w:t>
      </w:r>
      <w:r>
        <w:t xml:space="preserve">	</w:t>
      </w:r>
      <w:r>
        <w:t xml:space="preserve">Crabbe, R. A.</w:t>
      </w:r>
      <w:r>
        <w:t xml:space="preserve"> </w:t>
      </w:r>
      <w:r>
        <w:rPr>
          <w:iCs/>
          <w:i/>
        </w:rPr>
        <w:t xml:space="preserve">et al.</w:t>
      </w:r>
      <w:r>
        <w:t xml:space="preserve"> Extreme warm temperatures alter forest phenology and productivity in</w:t>
      </w:r>
      <w:r>
        <w:t xml:space="preserve"> </w:t>
      </w:r>
      <w:r>
        <w:t xml:space="preserve">Europe</w:t>
      </w:r>
      <w:r>
        <w:t xml:space="preserve">.</w:t>
      </w:r>
      <w:r>
        <w:t xml:space="preserve"> </w:t>
      </w:r>
      <w:r>
        <w:rPr>
          <w:iCs/>
          <w:i/>
        </w:rPr>
        <w:t xml:space="preserve">Science of The Total Environment</w:t>
      </w:r>
      <w:r>
        <w:t xml:space="preserve"> </w:t>
      </w:r>
      <w:r>
        <w:rPr>
          <w:bCs/>
          <w:b/>
        </w:rPr>
        <w:t xml:space="preserve">563-564</w:t>
      </w:r>
      <w:r>
        <w:t xml:space="preserve">, 486–495 (2016).</w:t>
      </w:r>
    </w:p>
    <w:bookmarkEnd w:id="56"/>
    <w:bookmarkStart w:id="58" w:name="ref-anderson-teixeira_carbon_2021"/>
    <w:p>
      <w:pPr>
        <w:pStyle w:val="Bibliography"/>
      </w:pPr>
      <w:r>
        <w:t xml:space="preserve">8.</w:t>
      </w:r>
      <w:r>
        <w:t xml:space="preserve"> </w:t>
      </w:r>
      <w:r>
        <w:t xml:space="preserve">	</w:t>
      </w:r>
      <w:r>
        <w:t xml:space="preserve">Anderson-Teixeira, K. J.</w:t>
      </w:r>
      <w:r>
        <w:t xml:space="preserve"> </w:t>
      </w:r>
      <w:r>
        <w:rPr>
          <w:iCs/>
          <w:i/>
        </w:rPr>
        <w:t xml:space="preserve">et al.</w:t>
      </w:r>
      <w:r>
        <w:t xml:space="preserve"> Carbon cycling in mature and regrowth forests globally.</w:t>
      </w:r>
      <w:r>
        <w:t xml:space="preserve"> </w:t>
      </w:r>
      <w:r>
        <w:rPr>
          <w:iCs/>
          <w:i/>
        </w:rPr>
        <w:t xml:space="preserve">Environmental Research Letters</w:t>
      </w:r>
      <w:r>
        <w:t xml:space="preserve"> </w:t>
      </w:r>
      <w:r>
        <w:t xml:space="preserve">(2021) doi:</w:t>
      </w:r>
      <w:hyperlink r:id="rId57">
        <w:r>
          <w:rPr>
            <w:rStyle w:val="Hyperlink"/>
          </w:rPr>
          <w:t xml:space="preserve">10.1088/1748-9326/abed01</w:t>
        </w:r>
      </w:hyperlink>
      <w:r>
        <w:t xml:space="preserve">.</w:t>
      </w:r>
    </w:p>
    <w:bookmarkEnd w:id="58"/>
    <w:bookmarkStart w:id="59" w:name="ref-xue_global_2017"/>
    <w:p>
      <w:pPr>
        <w:pStyle w:val="Bibliography"/>
      </w:pPr>
      <w:r>
        <w:t xml:space="preserve">9.</w:t>
      </w:r>
      <w:r>
        <w:t xml:space="preserve"> </w:t>
      </w:r>
      <w:r>
        <w:t xml:space="preserve">	</w:t>
      </w:r>
      <w:r>
        <w:t xml:space="preserve">Xue, B.-L.</w:t>
      </w:r>
      <w:r>
        <w:t xml:space="preserve"> </w:t>
      </w:r>
      <w:r>
        <w:rPr>
          <w:iCs/>
          <w:i/>
        </w:rPr>
        <w:t xml:space="preserve">et al.</w:t>
      </w:r>
      <w:r>
        <w:t xml:space="preserve"> Global patterns of woody residence time and its influence on model simulation of aboveground biomass.</w:t>
      </w:r>
      <w:r>
        <w:t xml:space="preserve"> </w:t>
      </w:r>
      <w:r>
        <w:rPr>
          <w:iCs/>
          <w:i/>
        </w:rPr>
        <w:t xml:space="preserve">Global Biogeochemical Cycles</w:t>
      </w:r>
      <w:r>
        <w:t xml:space="preserve"> </w:t>
      </w:r>
      <w:r>
        <w:rPr>
          <w:bCs/>
          <w:b/>
        </w:rPr>
        <w:t xml:space="preserve">31</w:t>
      </w:r>
      <w:r>
        <w:t xml:space="preserve">, 821–835 (2017).</w:t>
      </w:r>
    </w:p>
    <w:bookmarkEnd w:id="59"/>
    <w:bookmarkStart w:id="60" w:name="ref-russell_residence_2014"/>
    <w:p>
      <w:pPr>
        <w:pStyle w:val="Bibliography"/>
      </w:pPr>
      <w:r>
        <w:t xml:space="preserve">10.</w:t>
      </w:r>
      <w:r>
        <w:t xml:space="preserve"> </w:t>
      </w:r>
      <w:r>
        <w:t xml:space="preserve">	</w:t>
      </w:r>
      <w:r>
        <w:t xml:space="preserve">Russell, M. B.</w:t>
      </w:r>
      <w:r>
        <w:t xml:space="preserve"> </w:t>
      </w:r>
      <w:r>
        <w:rPr>
          <w:iCs/>
          <w:i/>
        </w:rPr>
        <w:t xml:space="preserve">et al.</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 (2014).</w:t>
      </w:r>
    </w:p>
    <w:bookmarkEnd w:id="60"/>
    <w:bookmarkStart w:id="61" w:name="ref-profft_forest_2009"/>
    <w:p>
      <w:pPr>
        <w:pStyle w:val="Bibliography"/>
      </w:pPr>
      <w:r>
        <w:t xml:space="preserve">11.</w:t>
      </w:r>
      <w:r>
        <w:t xml:space="preserve"> </w:t>
      </w:r>
      <w:r>
        <w:t xml:space="preserve">	</w:t>
      </w:r>
      <w:r>
        <w:t xml:space="preserve">Profft, I., Mund, M., Weber, G.-E., Weller, E. &amp; Schulze, E.-D. Forest management and carbon sequestration in wood products.</w:t>
      </w:r>
      <w:r>
        <w:t xml:space="preserve"> </w:t>
      </w:r>
      <w:r>
        <w:rPr>
          <w:iCs/>
          <w:i/>
        </w:rPr>
        <w:t xml:space="preserve">European Journal of Forest Research</w:t>
      </w:r>
      <w:r>
        <w:t xml:space="preserve"> </w:t>
      </w:r>
      <w:r>
        <w:rPr>
          <w:bCs/>
          <w:b/>
        </w:rPr>
        <w:t xml:space="preserve">128</w:t>
      </w:r>
      <w:r>
        <w:t xml:space="preserve">, 399–413 (2009).</w:t>
      </w:r>
    </w:p>
    <w:bookmarkEnd w:id="61"/>
    <w:bookmarkStart w:id="62" w:name="ref-fu_maximum_2019"/>
    <w:p>
      <w:pPr>
        <w:pStyle w:val="Bibliography"/>
      </w:pPr>
      <w:r>
        <w:t xml:space="preserve">12.</w:t>
      </w:r>
      <w:r>
        <w:t xml:space="preserve"> </w:t>
      </w:r>
      <w:r>
        <w:t xml:space="preserve">	</w:t>
      </w:r>
      <w:r>
        <w:t xml:space="preserve">Fu, Z.</w:t>
      </w:r>
      <w:r>
        <w:t xml:space="preserve"> </w:t>
      </w:r>
      <w:r>
        <w:rPr>
          <w:iCs/>
          <w:i/>
        </w:rPr>
        <w:t xml:space="preserve">et al.</w:t>
      </w:r>
      <w:r>
        <w:t xml:space="preserve"> Maximum carbon uptake rate dominates the interannual variability of global net ecosystem exchange.</w:t>
      </w:r>
      <w:r>
        <w:t xml:space="preserve"> </w:t>
      </w:r>
      <w:r>
        <w:rPr>
          <w:iCs/>
          <w:i/>
        </w:rPr>
        <w:t xml:space="preserve">Global Change Biology</w:t>
      </w:r>
      <w:r>
        <w:t xml:space="preserve"> </w:t>
      </w:r>
      <w:r>
        <w:rPr>
          <w:bCs/>
          <w:b/>
        </w:rPr>
        <w:t xml:space="preserve">25</w:t>
      </w:r>
      <w:r>
        <w:t xml:space="preserve">, 3381–3394 (2019).</w:t>
      </w:r>
    </w:p>
    <w:bookmarkEnd w:id="62"/>
    <w:bookmarkStart w:id="63" w:name="ref-zohner_ongoing_2019"/>
    <w:p>
      <w:pPr>
        <w:pStyle w:val="Bibliography"/>
      </w:pPr>
      <w:r>
        <w:t xml:space="preserve">13.</w:t>
      </w:r>
      <w:r>
        <w:t xml:space="preserve"> </w:t>
      </w:r>
      <w:r>
        <w:t xml:space="preserve">	</w:t>
      </w:r>
      <w:r>
        <w:t xml:space="preserve">Zohner, C. M. &amp; Renner, S. S.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 (2019).</w:t>
      </w:r>
    </w:p>
    <w:bookmarkEnd w:id="63"/>
    <w:bookmarkStart w:id="64" w:name="ref-zani_increased_2020"/>
    <w:p>
      <w:pPr>
        <w:pStyle w:val="Bibliography"/>
      </w:pPr>
      <w:r>
        <w:t xml:space="preserve">14.</w:t>
      </w:r>
      <w:r>
        <w:t xml:space="preserve"> </w:t>
      </w:r>
      <w:r>
        <w:t xml:space="preserve">	</w:t>
      </w:r>
      <w:r>
        <w:t xml:space="preserve">Zani, D., Crowther, T. W., Mo, L., Renner, S. S. &amp; Zohner, C. M. Increased growing-season productivity drives earlier autumn leaf senescence in temperate trees. 7 (2020).</w:t>
      </w:r>
    </w:p>
    <w:bookmarkEnd w:id="64"/>
    <w:bookmarkStart w:id="65" w:name="ref-arora_carbon_2020"/>
    <w:p>
      <w:pPr>
        <w:pStyle w:val="Bibliography"/>
      </w:pPr>
      <w:r>
        <w:t xml:space="preserve">15.</w:t>
      </w:r>
      <w:r>
        <w:t xml:space="preserve"> </w:t>
      </w:r>
      <w:r>
        <w:t xml:space="preserve">	</w:t>
      </w:r>
      <w:r>
        <w:t xml:space="preserve">Arora, V. K.</w:t>
      </w:r>
      <w:r>
        <w:t xml:space="preserve"> </w:t>
      </w:r>
      <w:r>
        <w:rPr>
          <w:iCs/>
          <w:i/>
        </w:rPr>
        <w:t xml:space="preserve">et al.</w:t>
      </w:r>
      <w:r>
        <w:t xml:space="preserve">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 (2020).</w:t>
      </w:r>
    </w:p>
    <w:bookmarkEnd w:id="65"/>
    <w:bookmarkStart w:id="66" w:name="ref-friedlingstein_global_2020"/>
    <w:p>
      <w:pPr>
        <w:pStyle w:val="Bibliography"/>
      </w:pPr>
      <w:r>
        <w:t xml:space="preserve">16.</w:t>
      </w:r>
      <w:r>
        <w:t xml:space="preserve"> </w:t>
      </w:r>
      <w:r>
        <w:t xml:space="preserve">	</w:t>
      </w:r>
      <w:r>
        <w:t xml:space="preserve">Friedlingstein, P.</w:t>
      </w:r>
      <w:r>
        <w:t xml:space="preserve"> </w:t>
      </w:r>
      <w:r>
        <w:rPr>
          <w:iCs/>
          <w:i/>
        </w:rPr>
        <w:t xml:space="preserve">et al.</w:t>
      </w:r>
      <w:r>
        <w:t xml:space="preserve"> Global</w:t>
      </w:r>
      <w:r>
        <w:t xml:space="preserve"> </w:t>
      </w:r>
      <w:r>
        <w:t xml:space="preserve">Carbon Budget</w:t>
      </w:r>
      <w:r>
        <w:t xml:space="preserve"> </w:t>
      </w:r>
      <w:r>
        <w:t xml:space="preserve">2020.</w:t>
      </w:r>
      <w:r>
        <w:t xml:space="preserve"> </w:t>
      </w:r>
      <w:r>
        <w:rPr>
          <w:iCs/>
          <w:i/>
        </w:rPr>
        <w:t xml:space="preserve">Earth System Science Data</w:t>
      </w:r>
      <w:r>
        <w:t xml:space="preserve"> </w:t>
      </w:r>
      <w:r>
        <w:rPr>
          <w:bCs/>
          <w:b/>
        </w:rPr>
        <w:t xml:space="preserve">12</w:t>
      </w:r>
      <w:r>
        <w:t xml:space="preserve">, 3269–3340 (2020).</w:t>
      </w:r>
    </w:p>
    <w:bookmarkEnd w:id="66"/>
    <w:bookmarkStart w:id="67" w:name="ref-parmesan_globally_2003"/>
    <w:p>
      <w:pPr>
        <w:pStyle w:val="Bibliography"/>
      </w:pPr>
      <w:r>
        <w:t xml:space="preserve">17.</w:t>
      </w:r>
      <w:r>
        <w:t xml:space="preserve"> </w:t>
      </w:r>
      <w:r>
        <w:t xml:space="preserve">	</w:t>
      </w:r>
      <w:r>
        <w:t xml:space="preserve">Parmesan, C. &amp; Yohe, G. A globally coherent fingerprint of climate change impacts across natural systems.</w:t>
      </w:r>
      <w:r>
        <w:t xml:space="preserve"> </w:t>
      </w:r>
      <w:r>
        <w:rPr>
          <w:iCs/>
          <w:i/>
        </w:rPr>
        <w:t xml:space="preserve">Nature</w:t>
      </w:r>
      <w:r>
        <w:t xml:space="preserve"> </w:t>
      </w:r>
      <w:r>
        <w:rPr>
          <w:bCs/>
          <w:b/>
        </w:rPr>
        <w:t xml:space="preserve">421</w:t>
      </w:r>
      <w:r>
        <w:t xml:space="preserve">, 37–42 (2003).</w:t>
      </w:r>
    </w:p>
    <w:bookmarkEnd w:id="67"/>
    <w:bookmarkStart w:id="68" w:name="ref-friedl_tale_2014"/>
    <w:p>
      <w:pPr>
        <w:pStyle w:val="Bibliography"/>
      </w:pPr>
      <w:r>
        <w:t xml:space="preserve">18.</w:t>
      </w:r>
      <w:r>
        <w:t xml:space="preserve"> </w:t>
      </w:r>
      <w:r>
        <w:t xml:space="preserve">	</w:t>
      </w:r>
      <w:r>
        <w:t xml:space="preserve">Friedl, M. A.</w:t>
      </w:r>
      <w:r>
        <w:t xml:space="preserve"> </w:t>
      </w:r>
      <w:r>
        <w:rPr>
          <w:iCs/>
          <w:i/>
        </w:rPr>
        <w:t xml:space="preserve">et al.</w:t>
      </w:r>
      <w:r>
        <w:t xml:space="preserve"> A tale of two springs: Using recent climate anomalies to characterize the sensitivity of temperate forest phenology to climate change.</w:t>
      </w:r>
      <w:r>
        <w:t xml:space="preserve"> </w:t>
      </w:r>
      <w:r>
        <w:rPr>
          <w:iCs/>
          <w:i/>
        </w:rPr>
        <w:t xml:space="preserve">Environmental Research Letters</w:t>
      </w:r>
      <w:r>
        <w:t xml:space="preserve"> </w:t>
      </w:r>
      <w:r>
        <w:rPr>
          <w:bCs/>
          <w:b/>
        </w:rPr>
        <w:t xml:space="preserve">9</w:t>
      </w:r>
      <w:r>
        <w:t xml:space="preserve">, 054006 (2014).</w:t>
      </w:r>
    </w:p>
    <w:bookmarkEnd w:id="68"/>
    <w:bookmarkStart w:id="69" w:name="ref-churkina_spatial_2005"/>
    <w:p>
      <w:pPr>
        <w:pStyle w:val="Bibliography"/>
      </w:pPr>
      <w:r>
        <w:t xml:space="preserve">19.</w:t>
      </w:r>
      <w:r>
        <w:t xml:space="preserve"> </w:t>
      </w:r>
      <w:r>
        <w:t xml:space="preserve">	</w:t>
      </w:r>
      <w:r>
        <w:t xml:space="preserve">Churkina, G., Schimel, D., Braswell, B. H. &amp; Xiao, X. Spatial analysis of growing season length control over net ecosystem exchange.</w:t>
      </w:r>
      <w:r>
        <w:t xml:space="preserve"> </w:t>
      </w:r>
      <w:r>
        <w:rPr>
          <w:iCs/>
          <w:i/>
        </w:rPr>
        <w:t xml:space="preserve">Global Change Biology</w:t>
      </w:r>
      <w:r>
        <w:t xml:space="preserve"> </w:t>
      </w:r>
      <w:r>
        <w:rPr>
          <w:bCs/>
          <w:b/>
        </w:rPr>
        <w:t xml:space="preserve">11</w:t>
      </w:r>
      <w:r>
        <w:t xml:space="preserve">, 1777–1787 (2005).</w:t>
      </w:r>
    </w:p>
    <w:bookmarkEnd w:id="69"/>
    <w:bookmarkStart w:id="70" w:name="ref-keenan_net_2014"/>
    <w:p>
      <w:pPr>
        <w:pStyle w:val="Bibliography"/>
      </w:pPr>
      <w:r>
        <w:t xml:space="preserve">20.</w:t>
      </w:r>
      <w:r>
        <w:t xml:space="preserve"> </w:t>
      </w:r>
      <w:r>
        <w:t xml:space="preserve">	</w:t>
      </w:r>
      <w:r>
        <w:t xml:space="preserve">Keenan, T. F.</w:t>
      </w:r>
      <w:r>
        <w:t xml:space="preserve"> </w:t>
      </w:r>
      <w:r>
        <w:rPr>
          <w:iCs/>
          <w:i/>
        </w:rPr>
        <w:t xml:space="preserve">et al.</w:t>
      </w:r>
      <w:r>
        <w:t xml:space="preserve"> Net carbon uptake has increased through warming-induced changes in temperate forest phenology.</w:t>
      </w:r>
      <w:r>
        <w:t xml:space="preserve"> </w:t>
      </w:r>
      <w:r>
        <w:rPr>
          <w:iCs/>
          <w:i/>
        </w:rPr>
        <w:t xml:space="preserve">Nature Climate Change</w:t>
      </w:r>
      <w:r>
        <w:t xml:space="preserve"> </w:t>
      </w:r>
      <w:r>
        <w:rPr>
          <w:bCs/>
          <w:b/>
        </w:rPr>
        <w:t xml:space="preserve">4</w:t>
      </w:r>
      <w:r>
        <w:t xml:space="preserve">, 598–604 (2014).</w:t>
      </w:r>
    </w:p>
    <w:bookmarkEnd w:id="70"/>
    <w:bookmarkStart w:id="71" w:name="ref-zhou_explaining_2016"/>
    <w:p>
      <w:pPr>
        <w:pStyle w:val="Bibliography"/>
      </w:pPr>
      <w:r>
        <w:t xml:space="preserve">21.</w:t>
      </w:r>
      <w:r>
        <w:t xml:space="preserve"> </w:t>
      </w:r>
      <w:r>
        <w:t xml:space="preserve">	</w:t>
      </w:r>
      <w:r>
        <w:t xml:space="preserve">Zhou, S.</w:t>
      </w:r>
      <w:r>
        <w:t xml:space="preserve"> </w:t>
      </w:r>
      <w:r>
        <w:rPr>
          <w:iCs/>
          <w:i/>
        </w:rPr>
        <w:t xml:space="preserve">et al.</w:t>
      </w:r>
      <w:r>
        <w:t xml:space="preserve"> Explaining inter-annual variability of gross primary productivity from plant phenology and physiology.</w:t>
      </w:r>
      <w:r>
        <w:t xml:space="preserve"> </w:t>
      </w:r>
      <w:r>
        <w:rPr>
          <w:iCs/>
          <w:i/>
        </w:rPr>
        <w:t xml:space="preserve">Agricultural and Forest Meteorology</w:t>
      </w:r>
      <w:r>
        <w:t xml:space="preserve"> </w:t>
      </w:r>
      <w:r>
        <w:rPr>
          <w:bCs/>
          <w:b/>
        </w:rPr>
        <w:t xml:space="preserve">226-227</w:t>
      </w:r>
      <w:r>
        <w:t xml:space="preserve">, 246–256 (2016).</w:t>
      </w:r>
    </w:p>
    <w:bookmarkEnd w:id="71"/>
    <w:bookmarkStart w:id="72" w:name="ref-helcoski_growing_2019"/>
    <w:p>
      <w:pPr>
        <w:pStyle w:val="Bibliography"/>
      </w:pPr>
      <w:r>
        <w:t xml:space="preserve">22.</w:t>
      </w:r>
      <w:r>
        <w:t xml:space="preserve"> </w:t>
      </w:r>
      <w:r>
        <w:t xml:space="preserve">	</w:t>
      </w:r>
      <w:r>
        <w:t xml:space="preserve">Helcoski, R.</w:t>
      </w:r>
      <w:r>
        <w:t xml:space="preserve"> </w:t>
      </w:r>
      <w:r>
        <w:rPr>
          <w:iCs/>
          <w:i/>
        </w:rPr>
        <w:t xml:space="preserve">et al.</w:t>
      </w:r>
      <w:r>
        <w:t xml:space="preserve"> Growing season moisture drives interannual variation in woody productivity of a temperate deciduous forest.</w:t>
      </w:r>
      <w:r>
        <w:t xml:space="preserve"> </w:t>
      </w:r>
      <w:r>
        <w:rPr>
          <w:iCs/>
          <w:i/>
        </w:rPr>
        <w:t xml:space="preserve">New Phytologist</w:t>
      </w:r>
      <w:r>
        <w:t xml:space="preserve"> </w:t>
      </w:r>
      <w:r>
        <w:rPr>
          <w:bCs/>
          <w:b/>
        </w:rPr>
        <w:t xml:space="preserve">223</w:t>
      </w:r>
      <w:r>
        <w:t xml:space="preserve">, 1204–1216 (2019).</w:t>
      </w:r>
    </w:p>
    <w:bookmarkEnd w:id="72"/>
    <w:bookmarkStart w:id="73" w:name="ref-mcmahon_general_2015"/>
    <w:p>
      <w:pPr>
        <w:pStyle w:val="Bibliography"/>
      </w:pPr>
      <w:r>
        <w:t xml:space="preserve">23.</w:t>
      </w:r>
      <w:r>
        <w:t xml:space="preserve"> </w:t>
      </w:r>
      <w:r>
        <w:t xml:space="preserve">	</w:t>
      </w:r>
      <w:r>
        <w:t xml:space="preserve">McMahon, S. M. &amp; Parker, G. G. A general model of intra-annual tree growth using dendrometer bands.</w:t>
      </w:r>
      <w:r>
        <w:t xml:space="preserve"> </w:t>
      </w:r>
      <w:r>
        <w:rPr>
          <w:iCs/>
          <w:i/>
        </w:rPr>
        <w:t xml:space="preserve">Ecology and Evolution</w:t>
      </w:r>
      <w:r>
        <w:t xml:space="preserve"> </w:t>
      </w:r>
      <w:r>
        <w:rPr>
          <w:bCs/>
          <w:b/>
        </w:rPr>
        <w:t xml:space="preserve">5</w:t>
      </w:r>
      <w:r>
        <w:t xml:space="preserve">, 243–254 (2015).</w:t>
      </w:r>
    </w:p>
    <w:bookmarkEnd w:id="73"/>
    <w:bookmarkStart w:id="75" w:name="ref-delgado_differences_2020"/>
    <w:p>
      <w:pPr>
        <w:pStyle w:val="Bibliography"/>
      </w:pPr>
      <w:r>
        <w:t xml:space="preserve">24.</w:t>
      </w:r>
      <w:r>
        <w:t xml:space="preserve"> </w:t>
      </w:r>
      <w:r>
        <w:t xml:space="preserve">	</w:t>
      </w:r>
      <w:r>
        <w:t xml:space="preserve">Delgado, M. del M.</w:t>
      </w:r>
      <w:r>
        <w:t xml:space="preserve"> </w:t>
      </w:r>
      <w:r>
        <w:rPr>
          <w:iCs/>
          <w:i/>
        </w:rPr>
        <w:t xml:space="preserve">et al.</w:t>
      </w:r>
      <w:r>
        <w:t xml:space="preserve"> Differences in spatial versus temporal reaction norms for spring and autumn phenological events.</w:t>
      </w:r>
      <w:r>
        <w:t xml:space="preserve"> </w:t>
      </w:r>
      <w:r>
        <w:rPr>
          <w:iCs/>
          <w:i/>
        </w:rPr>
        <w:t xml:space="preserve">Proceedings of the National Academy of Sciences</w:t>
      </w:r>
      <w:r>
        <w:t xml:space="preserve"> </w:t>
      </w:r>
      <w:r>
        <w:t xml:space="preserve">202002713 (2020) doi:</w:t>
      </w:r>
      <w:hyperlink r:id="rId74">
        <w:r>
          <w:rPr>
            <w:rStyle w:val="Hyperlink"/>
          </w:rPr>
          <w:t xml:space="preserve">10.1073/pnas.2002713117</w:t>
        </w:r>
      </w:hyperlink>
      <w:r>
        <w:t xml:space="preserve">.</w:t>
      </w:r>
    </w:p>
    <w:bookmarkEnd w:id="75"/>
    <w:bookmarkStart w:id="76" w:name="ref-zhang_drought_2021"/>
    <w:p>
      <w:pPr>
        <w:pStyle w:val="Bibliography"/>
      </w:pPr>
      <w:r>
        <w:t xml:space="preserve">25.</w:t>
      </w:r>
      <w:r>
        <w:t xml:space="preserve"> </w:t>
      </w:r>
      <w:r>
        <w:t xml:space="preserve">	</w:t>
      </w:r>
      <w:r>
        <w:t xml:space="preserve">Zhang, J.</w:t>
      </w:r>
      <w:r>
        <w:t xml:space="preserve"> </w:t>
      </w:r>
      <w:r>
        <w:rPr>
          <w:iCs/>
          <w:i/>
        </w:rPr>
        <w:t xml:space="preserve">et al.</w:t>
      </w:r>
      <w:r>
        <w:t xml:space="preserve"> Drought limits wood production of</w:t>
      </w:r>
      <w:r>
        <w:t xml:space="preserve"> </w:t>
      </w:r>
      <w:r>
        <w:t xml:space="preserve">Juniperus</w:t>
      </w:r>
      <w:r>
        <w:t xml:space="preserve"> </w:t>
      </w:r>
      <w:r>
        <w:t xml:space="preserve">przewalskii even as growing seasons lengthens in a cold and arid environment.</w:t>
      </w:r>
      <w:r>
        <w:t xml:space="preserve"> </w:t>
      </w:r>
      <w:r>
        <w:rPr>
          <w:iCs/>
          <w:i/>
        </w:rPr>
        <w:t xml:space="preserve">CATENA</w:t>
      </w:r>
      <w:r>
        <w:t xml:space="preserve"> </w:t>
      </w:r>
      <w:r>
        <w:rPr>
          <w:bCs/>
          <w:b/>
        </w:rPr>
        <w:t xml:space="preserve">196</w:t>
      </w:r>
      <w:r>
        <w:t xml:space="preserve">, 104936 (2021).</w:t>
      </w:r>
    </w:p>
    <w:bookmarkEnd w:id="76"/>
    <w:bookmarkStart w:id="77" w:name="ref-zhang_extended_2020"/>
    <w:p>
      <w:pPr>
        <w:pStyle w:val="Bibliography"/>
      </w:pPr>
      <w:r>
        <w:t xml:space="preserve">26.</w:t>
      </w:r>
      <w:r>
        <w:t xml:space="preserve"> </w:t>
      </w:r>
      <w:r>
        <w:t xml:space="preserve">	</w:t>
      </w:r>
      <w:r>
        <w:t xml:space="preserve">Zhang, J.</w:t>
      </w:r>
      <w:r>
        <w:t xml:space="preserve"> </w:t>
      </w:r>
      <w:r>
        <w:rPr>
          <w:iCs/>
          <w:i/>
        </w:rPr>
        <w:t xml:space="preserve">et al.</w:t>
      </w:r>
      <w:r>
        <w:t xml:space="preserve"> Extended xylogenesis and stem biomass production in</w:t>
      </w:r>
      <w:r>
        <w:t xml:space="preserve"> </w:t>
      </w:r>
      <w:r>
        <w:t xml:space="preserve">Juniperus</w:t>
      </w:r>
      <w:r>
        <w:t xml:space="preserve"> </w:t>
      </w:r>
      <w:r>
        <w:t xml:space="preserve">przewalskii</w:t>
      </w:r>
      <w:r>
        <w:t xml:space="preserve"> </w:t>
      </w:r>
      <w:r>
        <w:t xml:space="preserve">Kom</w:t>
      </w:r>
      <w:r>
        <w:t xml:space="preserve">. During extreme late-season climatic events.</w:t>
      </w:r>
      <w:r>
        <w:t xml:space="preserve"> </w:t>
      </w:r>
      <w:r>
        <w:rPr>
          <w:iCs/>
          <w:i/>
        </w:rPr>
        <w:t xml:space="preserve">Annals of Forest Science</w:t>
      </w:r>
      <w:r>
        <w:t xml:space="preserve"> </w:t>
      </w:r>
      <w:r>
        <w:rPr>
          <w:bCs/>
          <w:b/>
        </w:rPr>
        <w:t xml:space="preserve">77</w:t>
      </w:r>
      <w:r>
        <w:t xml:space="preserve">, (2020).</w:t>
      </w:r>
    </w:p>
    <w:bookmarkEnd w:id="77"/>
    <w:bookmarkStart w:id="78" w:name="ref-alexander_potential_2019"/>
    <w:p>
      <w:pPr>
        <w:pStyle w:val="Bibliography"/>
      </w:pPr>
      <w:r>
        <w:t xml:space="preserve">27.</w:t>
      </w:r>
      <w:r>
        <w:t xml:space="preserve"> </w:t>
      </w:r>
      <w:r>
        <w:t xml:space="preserve">	</w:t>
      </w:r>
      <w:r>
        <w:t xml:space="preserve">Alexander, M. R.</w:t>
      </w:r>
      <w:r>
        <w:t xml:space="preserve"> </w:t>
      </w:r>
      <w:r>
        <w:rPr>
          <w:iCs/>
          <w:i/>
        </w:rPr>
        <w:t xml:space="preserve">et al.</w:t>
      </w:r>
      <w:r>
        <w:t xml:space="preserve"> The potential to strengthen temperature reconstructions in ecoregions with limited tree line using a multispecies approach.</w:t>
      </w:r>
      <w:r>
        <w:t xml:space="preserve"> </w:t>
      </w:r>
      <w:r>
        <w:rPr>
          <w:iCs/>
          <w:i/>
        </w:rPr>
        <w:t xml:space="preserve">Quaternary Research</w:t>
      </w:r>
      <w:r>
        <w:t xml:space="preserve"> </w:t>
      </w:r>
      <w:r>
        <w:rPr>
          <w:bCs/>
          <w:b/>
        </w:rPr>
        <w:t xml:space="preserve">92</w:t>
      </w:r>
      <w:r>
        <w:t xml:space="preserve">, 583–597 (2019).</w:t>
      </w:r>
    </w:p>
    <w:bookmarkEnd w:id="78"/>
    <w:bookmarkStart w:id="79" w:name="ref-bourg_initial_2013"/>
    <w:p>
      <w:pPr>
        <w:pStyle w:val="Bibliography"/>
      </w:pPr>
      <w:r>
        <w:t xml:space="preserve">28.</w:t>
      </w:r>
      <w:r>
        <w:t xml:space="preserve"> </w:t>
      </w:r>
      <w:r>
        <w:t xml:space="preserve">	</w:t>
      </w:r>
      <w:r>
        <w:t xml:space="preserve">Bourg, N. A., McShea, W. J., Thompson, J. R., McGarvey, J. C. &amp; Shen, X.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 </w:t>
      </w:r>
      <w:r>
        <w:rPr>
          <w:bCs/>
          <w:b/>
        </w:rPr>
        <w:t xml:space="preserve">94</w:t>
      </w:r>
      <w:r>
        <w:t xml:space="preserve">, 2111–2112 (2013).</w:t>
      </w:r>
    </w:p>
    <w:bookmarkEnd w:id="79"/>
    <w:bookmarkStart w:id="80" w:name="ref-cook_time_1985"/>
    <w:p>
      <w:pPr>
        <w:pStyle w:val="Bibliography"/>
      </w:pPr>
      <w:r>
        <w:t xml:space="preserve">29.</w:t>
      </w:r>
      <w:r>
        <w:t xml:space="preserve"> </w:t>
      </w:r>
      <w:r>
        <w:t xml:space="preserve">	</w:t>
      </w:r>
      <w:r>
        <w:t xml:space="preserve">Cook, E. R. A</w:t>
      </w:r>
      <w:r>
        <w:t xml:space="preserve"> </w:t>
      </w:r>
      <w:r>
        <w:t xml:space="preserve">Time Series Analysis Approach</w:t>
      </w:r>
      <w:r>
        <w:t xml:space="preserve"> </w:t>
      </w:r>
      <w:r>
        <w:t xml:space="preserve">to</w:t>
      </w:r>
      <w:r>
        <w:t xml:space="preserve"> </w:t>
      </w:r>
      <w:r>
        <w:t xml:space="preserve">Tree Ring Standardization</w:t>
      </w:r>
      <w:r>
        <w:t xml:space="preserve">. vol. PhD (University of Arizona, 1985).</w:t>
      </w:r>
    </w:p>
    <w:bookmarkEnd w:id="80"/>
    <w:bookmarkStart w:id="82" w:name="ref-cook_methods_1990"/>
    <w:p>
      <w:pPr>
        <w:pStyle w:val="Bibliography"/>
      </w:pPr>
      <w:r>
        <w:t xml:space="preserve">30.</w:t>
      </w:r>
      <w:r>
        <w:t xml:space="preserve"> </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 (</w:t>
      </w:r>
      <w:r>
        <w:t xml:space="preserve">Springer Netherlands</w:t>
      </w:r>
      <w:r>
        <w:t xml:space="preserve">, 1990). doi:</w:t>
      </w:r>
      <w:hyperlink r:id="rId81">
        <w:r>
          <w:rPr>
            <w:rStyle w:val="Hyperlink"/>
          </w:rPr>
          <w:t xml:space="preserve">10.1007/978-94-015-7879-0</w:t>
        </w:r>
      </w:hyperlink>
      <w:r>
        <w:t xml:space="preserve">.</w:t>
      </w:r>
    </w:p>
    <w:bookmarkEnd w:id="82"/>
    <w:bookmarkStart w:id="83" w:name="ref-cook_calculating_1997"/>
    <w:p>
      <w:pPr>
        <w:pStyle w:val="Bibliography"/>
      </w:pPr>
      <w:r>
        <w:t xml:space="preserve">31.</w:t>
      </w:r>
      <w:r>
        <w:t xml:space="preserve"> </w:t>
      </w:r>
      <w:r>
        <w:t xml:space="preserve">	</w:t>
      </w:r>
      <w:r>
        <w:t xml:space="preserve">Cook, E. R. &amp; Peters, K. Calculating unbiased tree-ring indices for the study of climatic and environmental change.</w:t>
      </w:r>
      <w:r>
        <w:t xml:space="preserve"> </w:t>
      </w:r>
      <w:r>
        <w:rPr>
          <w:iCs/>
          <w:i/>
        </w:rPr>
        <w:t xml:space="preserve">The Holocene</w:t>
      </w:r>
      <w:r>
        <w:t xml:space="preserve"> </w:t>
      </w:r>
      <w:r>
        <w:rPr>
          <w:bCs/>
          <w:b/>
        </w:rPr>
        <w:t xml:space="preserve">7</w:t>
      </w:r>
      <w:r>
        <w:t xml:space="preserve">, 361–370 (1997).</w:t>
      </w:r>
    </w:p>
    <w:bookmarkEnd w:id="83"/>
    <w:bookmarkStart w:id="84" w:name="ref-jones_estimating_1997"/>
    <w:p>
      <w:pPr>
        <w:pStyle w:val="Bibliography"/>
      </w:pPr>
      <w:r>
        <w:t xml:space="preserve">32.</w:t>
      </w:r>
      <w:r>
        <w:t xml:space="preserve"> </w:t>
      </w:r>
      <w:r>
        <w:t xml:space="preserve">	</w:t>
      </w:r>
      <w:r>
        <w:t xml:space="preserve">Jones, P. D., Osborn, T. J. &amp; Briffa, K. R. Estimating sampling errors in large-scale temperature averages.</w:t>
      </w:r>
      <w:r>
        <w:t xml:space="preserve"> </w:t>
      </w:r>
      <w:r>
        <w:rPr>
          <w:iCs/>
          <w:i/>
        </w:rPr>
        <w:t xml:space="preserve">Journal of Climate</w:t>
      </w:r>
      <w:r>
        <w:t xml:space="preserve"> </w:t>
      </w:r>
      <w:r>
        <w:rPr>
          <w:bCs/>
          <w:b/>
        </w:rPr>
        <w:t xml:space="preserve">10</w:t>
      </w:r>
      <w:r>
        <w:t xml:space="preserve">, 2548–2568 (1997).</w:t>
      </w:r>
    </w:p>
    <w:bookmarkEnd w:id="84"/>
    <w:bookmarkStart w:id="86" w:name="ref-anderson-teixeira_forestgeo_2020"/>
    <w:p>
      <w:pPr>
        <w:pStyle w:val="Bibliography"/>
      </w:pPr>
      <w:r>
        <w:t xml:space="preserve">33.</w:t>
      </w:r>
      <w:r>
        <w:t xml:space="preserve"> </w:t>
      </w:r>
      <w:r>
        <w:t xml:space="preserve">	</w:t>
      </w:r>
      <w:r>
        <w:t xml:space="preserve">Anderson-Teixeira, K.</w:t>
      </w:r>
      <w:r>
        <w:t xml:space="preserve"> </w:t>
      </w:r>
      <w:r>
        <w:rPr>
          <w:iCs/>
          <w:i/>
        </w:rPr>
        <w:t xml:space="preserve">et al.</w:t>
      </w:r>
      <w:r>
        <w:t xml:space="preserve"> Forestgeo/</w:t>
      </w:r>
      <w:r>
        <w:t xml:space="preserve">Climate</w:t>
      </w:r>
      <w:r>
        <w:t xml:space="preserve">:</w:t>
      </w:r>
      <w:r>
        <w:t xml:space="preserve"> </w:t>
      </w:r>
      <w:r>
        <w:t xml:space="preserve">Initial</w:t>
      </w:r>
      <w:r>
        <w:t xml:space="preserve"> </w:t>
      </w:r>
      <w:r>
        <w:t xml:space="preserve">release. (2020) doi:</w:t>
      </w:r>
      <w:hyperlink r:id="rId85">
        <w:r>
          <w:rPr>
            <w:rStyle w:val="Hyperlink"/>
          </w:rPr>
          <w:t xml:space="preserve">10.5281/ZENODO.4041609</w:t>
        </w:r>
      </w:hyperlink>
      <w:r>
        <w:t xml:space="preserve">.</w:t>
      </w:r>
    </w:p>
    <w:bookmarkEnd w:id="86"/>
    <w:bookmarkStart w:id="87" w:name="ref-harris_version_2020"/>
    <w:p>
      <w:pPr>
        <w:pStyle w:val="Bibliography"/>
      </w:pPr>
      <w:r>
        <w:t xml:space="preserve">34.</w:t>
      </w:r>
      <w:r>
        <w:t xml:space="preserve"> </w:t>
      </w:r>
      <w:r>
        <w:t xml:space="preserve">	</w:t>
      </w:r>
      <w:r>
        <w:t xml:space="preserve">Harris, I., Osborn, T. J., Jones, P. &amp; Lister, D.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 </w:t>
      </w:r>
      <w:r>
        <w:rPr>
          <w:bCs/>
          <w:b/>
        </w:rPr>
        <w:t xml:space="preserve">7</w:t>
      </w:r>
      <w:r>
        <w:t xml:space="preserve">, (2020).</w:t>
      </w:r>
    </w:p>
    <w:bookmarkEnd w:id="87"/>
    <w:bookmarkStart w:id="88" w:name="ref-vandepol_identifying_2016"/>
    <w:p>
      <w:pPr>
        <w:pStyle w:val="Bibliography"/>
      </w:pPr>
      <w:r>
        <w:t xml:space="preserve">35.</w:t>
      </w:r>
      <w:r>
        <w:t xml:space="preserve"> </w:t>
      </w:r>
      <w:r>
        <w:t xml:space="preserve">	</w:t>
      </w:r>
      <w:r>
        <w:t xml:space="preserve">van de Pol, M.</w:t>
      </w:r>
      <w:r>
        <w:t xml:space="preserve"> </w:t>
      </w:r>
      <w:r>
        <w:rPr>
          <w:iCs/>
          <w:i/>
        </w:rPr>
        <w:t xml:space="preserve">et al.</w:t>
      </w:r>
      <w:r>
        <w:t xml:space="preserve"> Identifying the best climatic predictors in ecology and evolution.</w:t>
      </w:r>
      <w:r>
        <w:t xml:space="preserve"> </w:t>
      </w:r>
      <w:r>
        <w:rPr>
          <w:iCs/>
          <w:i/>
        </w:rPr>
        <w:t xml:space="preserve">Methods in Ecology and Evolution</w:t>
      </w:r>
      <w:r>
        <w:t xml:space="preserve"> </w:t>
      </w:r>
      <w:r>
        <w:rPr>
          <w:bCs/>
          <w:b/>
        </w:rPr>
        <w:t xml:space="preserve">7</w:t>
      </w:r>
      <w:r>
        <w:t xml:space="preserve">, 1246–1257 (2016).</w:t>
      </w:r>
    </w:p>
    <w:bookmarkEnd w:id="88"/>
    <w:bookmarkStart w:id="89" w:name="ref-bates_fitting_2015"/>
    <w:p>
      <w:pPr>
        <w:pStyle w:val="Bibliography"/>
      </w:pPr>
      <w:r>
        <w:t xml:space="preserve">36.</w:t>
      </w:r>
      <w:r>
        <w:t xml:space="preserve"> </w:t>
      </w:r>
      <w:r>
        <w:t xml:space="preserve">	</w:t>
      </w:r>
      <w:r>
        <w:t xml:space="preserve">Bates, D., Mächler, M., Bolker, B. &amp; Walker, S. Fitting</w:t>
      </w:r>
      <w:r>
        <w:t xml:space="preserve"> </w:t>
      </w:r>
      <w:r>
        <w:t xml:space="preserve">Linear Mixed</w:t>
      </w:r>
      <w:r>
        <w:t xml:space="preserve">-</w:t>
      </w:r>
      <w:r>
        <w:t xml:space="preserve">Effects Models Using</w:t>
      </w:r>
      <w:r>
        <w:t xml:space="preserve"> </w:t>
      </w:r>
      <w:r>
        <w:rPr>
          <w:bCs/>
          <w:b/>
        </w:rPr>
        <w:t xml:space="preserve">Lme4</w:t>
      </w:r>
      <w:r>
        <w:t xml:space="preserve">.</w:t>
      </w:r>
      <w:r>
        <w:t xml:space="preserve"> </w:t>
      </w:r>
      <w:r>
        <w:rPr>
          <w:iCs/>
          <w:i/>
        </w:rPr>
        <w:t xml:space="preserve">Journal of Statistical Software</w:t>
      </w:r>
      <w:r>
        <w:t xml:space="preserve"> </w:t>
      </w:r>
      <w:r>
        <w:rPr>
          <w:bCs/>
          <w:b/>
        </w:rPr>
        <w:t xml:space="preserve">67</w:t>
      </w:r>
      <w:r>
        <w:t xml:space="preserve">, (2015).</w:t>
      </w:r>
    </w:p>
    <w:bookmarkEnd w:id="89"/>
    <w:bookmarkEnd w:id="90"/>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2021-04-27T14:31:43Z</dcterms:created>
  <dcterms:modified xsi:type="dcterms:W3CDTF">2021-04-27T14:31:43Z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